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D1CDD0">
      <w:pPr>
        <w:pStyle w:val="2"/>
        <w:keepNext w:val="0"/>
        <w:keepLines w:val="0"/>
        <w:widowControl/>
        <w:suppressLineNumbers w:val="0"/>
        <w:ind w:left="964" w:hanging="964" w:hangingChars="200"/>
        <w:rPr>
          <w:rFonts w:hint="eastAsia" w:asciiTheme="minorEastAsia" w:hAnsiTheme="minorEastAsia" w:eastAsiaTheme="minorEastAsia" w:cstheme="minorEastAsia"/>
          <w:color w:va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</w:rPr>
        <w:t>义乌市稠城街道社区卫生服务中心食堂一次性餐具采购招标文件</w:t>
      </w:r>
    </w:p>
    <w:p w14:paraId="0400050A">
      <w:pPr>
        <w:pStyle w:val="4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一、项目基本情况</w:t>
      </w:r>
    </w:p>
    <w:tbl>
      <w:tblPr>
        <w:tblStyle w:val="7"/>
        <w:tblW w:w="842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6413"/>
      </w:tblGrid>
      <w:tr w14:paraId="26FC8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CB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6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89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内容</w:t>
            </w:r>
          </w:p>
        </w:tc>
      </w:tr>
      <w:tr w14:paraId="686BF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170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61A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食堂一次性餐具采购</w:t>
            </w:r>
          </w:p>
        </w:tc>
      </w:tr>
      <w:tr w14:paraId="0D661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82E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6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BC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CCYY202610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</w:tr>
      <w:tr w14:paraId="5DC34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1E2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采购人</w:t>
            </w:r>
          </w:p>
        </w:tc>
        <w:tc>
          <w:tcPr>
            <w:tcW w:w="6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84C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义乌市稠城街道社区卫生服务中心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color w:val="auto"/>
                <w:lang w:val="en-US" w:eastAsia="zh-CN" w:bidi="ar"/>
              </w:rPr>
              <w:t>食堂</w:t>
            </w:r>
          </w:p>
        </w:tc>
      </w:tr>
      <w:tr w14:paraId="2BFC8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4F0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采购方式</w:t>
            </w:r>
          </w:p>
        </w:tc>
        <w:tc>
          <w:tcPr>
            <w:tcW w:w="6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E7C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color w:val="auto"/>
                <w:lang w:val="en-US" w:eastAsia="zh-CN" w:bidi="ar"/>
              </w:rPr>
              <w:t>院内公开招标</w:t>
            </w:r>
          </w:p>
        </w:tc>
      </w:tr>
      <w:tr w14:paraId="2B00A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2D8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预算金额</w:t>
            </w:r>
          </w:p>
        </w:tc>
        <w:tc>
          <w:tcPr>
            <w:tcW w:w="6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3C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color w:val="auto"/>
                <w:lang w:val="en-US" w:eastAsia="zh-CN" w:bidi="ar"/>
              </w:rPr>
              <w:t>万元（为最高限价合计，按实结算）</w:t>
            </w:r>
          </w:p>
        </w:tc>
      </w:tr>
      <w:tr w14:paraId="26B7E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E73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结算率最高限价</w:t>
            </w:r>
          </w:p>
        </w:tc>
        <w:tc>
          <w:tcPr>
            <w:tcW w:w="6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0B9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  <w:r>
              <w:rPr>
                <w:rStyle w:val="12"/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lang w:val="en-US" w:eastAsia="zh-CN" w:bidi="ar"/>
              </w:rPr>
              <w:t>​</w:t>
            </w:r>
          </w:p>
        </w:tc>
      </w:tr>
      <w:tr w14:paraId="5FE43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EAF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合同期限</w:t>
            </w:r>
          </w:p>
        </w:tc>
        <w:tc>
          <w:tcPr>
            <w:tcW w:w="6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046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自合同签订生效之日起</w:t>
            </w:r>
            <w:r>
              <w:rPr>
                <w:rStyle w:val="12"/>
                <w:rFonts w:hint="eastAsia" w:asciiTheme="minorEastAsia" w:hAnsiTheme="minorEastAsia" w:eastAsiaTheme="minorEastAsia" w:cstheme="minorEastAsia"/>
                <w:color w:val="auto"/>
                <w:lang w:val="en-US" w:eastAsia="zh-CN" w:bidi="ar"/>
              </w:rPr>
              <w:t>1</w:t>
            </w:r>
            <w:r>
              <w:rPr>
                <w:rStyle w:val="11"/>
                <w:rFonts w:hint="eastAsia" w:asciiTheme="minorEastAsia" w:hAnsiTheme="minorEastAsia" w:eastAsiaTheme="minorEastAsia" w:cstheme="minorEastAsia"/>
                <w:color w:val="auto"/>
                <w:lang w:val="en-US" w:eastAsia="zh-CN" w:bidi="ar"/>
              </w:rPr>
              <w:t>年（或实际结算金额达预算金额止，先到为准）</w:t>
            </w:r>
          </w:p>
        </w:tc>
      </w:tr>
      <w:tr w14:paraId="5D70B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890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接受联合体</w:t>
            </w:r>
          </w:p>
        </w:tc>
        <w:tc>
          <w:tcPr>
            <w:tcW w:w="6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803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</w:tbl>
    <w:p w14:paraId="011E1433">
      <w:pPr>
        <w:pStyle w:val="4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二、申请人的资格要求</w:t>
      </w:r>
    </w:p>
    <w:p w14:paraId="36B27A2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 w:bidi="ar-SA"/>
        </w:rPr>
        <w:t>1.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满足《中华人民共和国政府采购法》第二十二条规定；未被“信用中国”“中国政府采购网”列入失信被执行人、重大税收违法案件当事人名单、政府采购严重违法失信行为记录名单；</w:t>
      </w:r>
    </w:p>
    <w:p w14:paraId="4A00B3F2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 w:bidi="ar-SA"/>
        </w:rPr>
        <w:t>2.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具备日用百货/餐饮具销售相关经营范围；</w:t>
      </w:r>
    </w:p>
    <w:p w14:paraId="09F22E7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 w:bidi="ar-SA"/>
        </w:rPr>
        <w:t>3.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本项目不接受联合体投标。</w:t>
      </w:r>
    </w:p>
    <w:p w14:paraId="1993EF3B">
      <w:pPr>
        <w:pStyle w:val="4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三、获取招标文件</w:t>
      </w:r>
    </w:p>
    <w:p w14:paraId="6CD1473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义乌市中心医院官网“医共体采招”栏目自行下载</w:t>
      </w:r>
    </w:p>
    <w:p w14:paraId="767BEBBC">
      <w:pPr>
        <w:pStyle w:val="4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四、提交投标文件截止时间、开标时间和地点</w:t>
      </w:r>
    </w:p>
    <w:p w14:paraId="5FB607C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截止时间：2026年10月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20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日14:00（北京时间）</w:t>
      </w:r>
    </w:p>
    <w:p w14:paraId="5B30480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投标地点：义乌市稠城街道社区卫生服务中心门诊楼4楼会议室</w:t>
      </w:r>
    </w:p>
    <w:p w14:paraId="1BECFAF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开标时间：2026年10月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20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日14:00</w:t>
      </w:r>
    </w:p>
    <w:p w14:paraId="349A8C3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firstLine="480" w:firstLineChars="20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4.开标地点：同投标地点</w:t>
      </w:r>
    </w:p>
    <w:p w14:paraId="7DFE02A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firstLine="480" w:firstLineChars="20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备注：可接受密封邮寄，逾期送达拒收；不要求投标人现场签字，澄清通过邮件进行。密封送达或密封邮寄至义乌市稠城街道南门街320号门诊楼4楼总务科；</w:t>
      </w:r>
    </w:p>
    <w:p w14:paraId="51851B2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firstLine="480" w:firstLineChars="20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</w:p>
    <w:p w14:paraId="51B40657">
      <w:pPr>
        <w:pStyle w:val="4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 xml:space="preserve">五、其他 </w:t>
      </w:r>
    </w:p>
    <w:p w14:paraId="5EDED8C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firstLine="480" w:firstLineChars="20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投标文件应按以下方法装袋密封标记：商务技术响应文件包装袋内装商务技术响应文件正本一份副本二份，报价响应文件包装袋内装报价响应文件正本一份副本二份；外包装封面上应标明“招标编号、投标项目名称、商务技术响应文件（或报价响应文件）、投标方名称”等，并注明“于2026年10月20日14:00前不准启封”的字样，封口处应加盖投标单位公章。</w:t>
      </w:r>
    </w:p>
    <w:p w14:paraId="647677C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中标结果公示于：义乌中心医院官网。</w:t>
      </w:r>
    </w:p>
    <w:p w14:paraId="07B6D40D">
      <w:pPr>
        <w:pStyle w:val="4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六、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采购需求</w:t>
      </w:r>
    </w:p>
    <w:p w14:paraId="69DACCF0">
      <w:pPr>
        <w:pStyle w:val="4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一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定价与结算机制</w:t>
      </w:r>
    </w:p>
    <w:p w14:paraId="28B6E1B9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 w:bidi="ar-SA"/>
        </w:rPr>
        <w:t>1.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本项目采用</w:t>
      </w:r>
      <w:r>
        <w:rPr>
          <w:rStyle w:val="9"/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最低结算率法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。</w:t>
      </w:r>
    </w:p>
    <w:p w14:paraId="0A04978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 w:bidi="ar-SA"/>
        </w:rPr>
        <w:t>2.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投标人仅须报一个</w:t>
      </w:r>
      <w:r>
        <w:rPr>
          <w:rStyle w:val="9"/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统一结算率 R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（精确到小数点后2位，如 96.50%）。</w:t>
      </w:r>
    </w:p>
    <w:p w14:paraId="38E52789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 w:bidi="ar-SA"/>
        </w:rPr>
        <w:t>3.</w:t>
      </w:r>
      <w:r>
        <w:rPr>
          <w:rStyle w:val="9"/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结算单价 = 该物资最高限价 × 统一结算率 R</w:t>
      </w:r>
    </w:p>
    <w:p w14:paraId="02C56C3E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 w:bidi="ar-SA"/>
        </w:rPr>
        <w:t>4.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所有清单内产品执行</w:t>
      </w:r>
      <w:r>
        <w:rPr>
          <w:rStyle w:val="9"/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同一结算率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，不接受分项差异化折扣。</w:t>
      </w:r>
    </w:p>
    <w:p w14:paraId="4135A188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 w:bidi="ar-SA"/>
        </w:rPr>
        <w:t>5.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结算率为含税全包比例，含货物、运输、装卸、包装、税费、售后等全部费用。</w:t>
      </w:r>
    </w:p>
    <w:p w14:paraId="48445FDE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 w:bidi="ar-SA"/>
        </w:rPr>
        <w:t>6.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按实结算：年预估量仅作预算参考，实际按科室下单数量结算，不设保底量。</w:t>
      </w:r>
    </w:p>
    <w:p w14:paraId="49DB9E87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 w:bidi="ar-SA"/>
        </w:rPr>
        <w:t>7.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清单外新增品类</w:t>
      </w:r>
      <w:r>
        <w:rPr>
          <w:rFonts w:hint="default" w:asciiTheme="minorEastAsia" w:hAnsiTheme="minorEastAsia" w:cstheme="minorEastAsia"/>
          <w:color w:val="auto"/>
          <w:sz w:val="24"/>
          <w:szCs w:val="24"/>
          <w:woUserID w:val="2"/>
        </w:rPr>
        <w:t>单价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中标人需按不高于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义乌市副食品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市场的</w:t>
      </w:r>
      <w:r>
        <w:rPr>
          <w:rFonts w:hint="default" w:asciiTheme="minorEastAsia" w:hAnsiTheme="minorEastAsia" w:cstheme="minorEastAsia"/>
          <w:color w:val="auto"/>
          <w:sz w:val="24"/>
          <w:szCs w:val="24"/>
          <w:lang w:eastAsia="zh-CN"/>
          <w:woUserID w:val="2"/>
        </w:rPr>
        <w:t>随机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三家经销商平均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价格</w:t>
      </w:r>
      <w:r>
        <w:rPr>
          <w:rFonts w:hint="default" w:asciiTheme="minorEastAsia" w:hAnsiTheme="minorEastAsia" w:cstheme="minorEastAsia"/>
          <w:color w:val="auto"/>
          <w:sz w:val="24"/>
          <w:szCs w:val="24"/>
          <w:lang w:eastAsia="zh-CN"/>
          <w:woUserID w:val="2"/>
        </w:rPr>
        <w:t>*中标结算率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进行供货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，经总务科确认。</w:t>
      </w:r>
    </w:p>
    <w:p w14:paraId="4CDA27E0">
      <w:pPr>
        <w:pStyle w:val="4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</w:pPr>
    </w:p>
    <w:p w14:paraId="50EACDB3">
      <w:pPr>
        <w:pStyle w:val="4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</w:pPr>
    </w:p>
    <w:p w14:paraId="6106EA36">
      <w:pPr>
        <w:pStyle w:val="4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</w:pPr>
    </w:p>
    <w:p w14:paraId="3E7E7C19">
      <w:pPr>
        <w:pStyle w:val="4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二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采购清单</w:t>
      </w:r>
    </w:p>
    <w:tbl>
      <w:tblPr>
        <w:tblStyle w:val="7"/>
        <w:tblW w:w="842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035"/>
        <w:gridCol w:w="1185"/>
        <w:gridCol w:w="2145"/>
        <w:gridCol w:w="675"/>
        <w:gridCol w:w="1215"/>
        <w:gridCol w:w="1328"/>
      </w:tblGrid>
      <w:tr w14:paraId="7B757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tblHeader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BA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0B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63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材质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5C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规格尺寸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71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8A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年预估量（参考）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EB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招标控制单价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（元）</w:t>
            </w:r>
          </w:p>
        </w:tc>
      </w:tr>
      <w:tr w14:paraId="57DEA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12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BB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四格餐盒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4D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玉米淀粉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55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长24.9×宽18.8×高4.8cm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51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C9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35,000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A4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1.06</w:t>
            </w:r>
          </w:p>
        </w:tc>
      </w:tr>
      <w:tr w14:paraId="6E936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C0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4B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汤勺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82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玉米淀粉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BF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长度13.5cm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70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E1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2,500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00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0.09</w:t>
            </w:r>
          </w:p>
        </w:tc>
      </w:tr>
      <w:tr w14:paraId="3DCF8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91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0D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5.0圆筷子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3B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竹子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22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长度20cm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3F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双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17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70,000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A4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0.04</w:t>
            </w:r>
          </w:p>
        </w:tc>
      </w:tr>
      <w:tr w14:paraId="63458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E8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58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500圆碗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07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食品级PP塑料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CE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口径11.7cm/高7.5cm/底7.8cm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72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E6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30,000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65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0.27</w:t>
            </w:r>
          </w:p>
        </w:tc>
      </w:tr>
      <w:tr w14:paraId="3D9AB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5C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54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1000圆碗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51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食品级PP塑料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7C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口径15cm/高8.8cm/底10.2cm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01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77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2,000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D9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0.4</w:t>
            </w:r>
          </w:p>
        </w:tc>
      </w:tr>
      <w:tr w14:paraId="31A82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D4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28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食品袋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53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食品级PP塑料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3F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20×20cm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12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06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9,000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BB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0.035</w:t>
            </w:r>
          </w:p>
        </w:tc>
      </w:tr>
      <w:tr w14:paraId="50B70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A1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A2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食品袋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DC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食品级PP塑料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63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46×30cm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34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4C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3,000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C7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0.1</w:t>
            </w:r>
          </w:p>
        </w:tc>
      </w:tr>
      <w:tr w14:paraId="53AEA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0B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21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纸盘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EB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纸浆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86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18cm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84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68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1,080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4D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0.25</w:t>
            </w:r>
          </w:p>
        </w:tc>
      </w:tr>
      <w:tr w14:paraId="79A1D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94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33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纸杯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33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食品级纸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F8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9盎司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12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6D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1,000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42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0.09</w:t>
            </w:r>
          </w:p>
        </w:tc>
      </w:tr>
      <w:tr w14:paraId="66CA4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7A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B3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7E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B1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FE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70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71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限价合计</w:t>
            </w:r>
            <w:r>
              <w:rPr>
                <w:rStyle w:val="13"/>
                <w:rFonts w:hint="eastAsia" w:asciiTheme="minorEastAsia" w:hAnsiTheme="minorEastAsia" w:eastAsiaTheme="minorEastAsia" w:cstheme="minorEastAsia"/>
                <w:color w:val="auto"/>
                <w:lang w:val="en-US" w:eastAsia="zh-CN" w:bidi="ar"/>
              </w:rPr>
              <w:t>50,000</w:t>
            </w:r>
          </w:p>
        </w:tc>
      </w:tr>
    </w:tbl>
    <w:p w14:paraId="1AFECC7C">
      <w:pPr>
        <w:pStyle w:val="5"/>
        <w:spacing w:line="360" w:lineRule="auto"/>
        <w:ind w:left="479" w:leftChars="228" w:firstLine="0" w:firstLineChars="0"/>
        <w:rPr>
          <w:rFonts w:hint="default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注：报价基准以“招标控制单价”为准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年预估量仅用于测算预算。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中标后按需分批次供货，</w:t>
      </w:r>
      <w:r>
        <w:rPr>
          <w:rFonts w:hint="default" w:asciiTheme="minorEastAsia" w:hAnsiTheme="minorEastAsia" w:cstheme="minorEastAsia"/>
          <w:color w:val="auto"/>
          <w:sz w:val="24"/>
          <w:szCs w:val="24"/>
          <w:lang w:eastAsia="zh-CN"/>
          <w:woUserID w:val="2"/>
        </w:rPr>
        <w:t>按“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  <w:woUserID w:val="2"/>
        </w:rPr>
        <w:t>招标控制单价</w:t>
      </w:r>
      <w:r>
        <w:rPr>
          <w:rFonts w:hint="default" w:asciiTheme="minorEastAsia" w:hAnsiTheme="minorEastAsia" w:cstheme="minorEastAsia"/>
          <w:color w:val="auto"/>
          <w:sz w:val="24"/>
          <w:szCs w:val="24"/>
          <w:lang w:eastAsia="zh-CN"/>
          <w:woUserID w:val="2"/>
        </w:rPr>
        <w:t>”*中标结算率*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  <w:woUserID w:val="2"/>
        </w:rPr>
        <w:t>实际供货数量结算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；</w:t>
      </w:r>
    </w:p>
    <w:p w14:paraId="0C3A983A">
      <w:pPr>
        <w:pStyle w:val="4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 xml:space="preserve">质量及服务要求 </w:t>
      </w:r>
    </w:p>
    <w:p w14:paraId="2634E7B6">
      <w:pPr>
        <w:pStyle w:val="6"/>
        <w:keepNext w:val="0"/>
        <w:keepLines w:val="0"/>
        <w:widowControl/>
        <w:suppressLineNumbers w:val="0"/>
        <w:ind w:left="720"/>
        <w:rPr>
          <w:rFonts w:hint="eastAsia" w:asciiTheme="minorEastAsia" w:hAnsiTheme="minorEastAsia" w:eastAsiaTheme="minorEastAsia" w:cstheme="minorEastAsia"/>
          <w:color w:val="auto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 w:bidi="ar-SA"/>
        </w:rPr>
        <w:t>1.</w:t>
      </w:r>
      <w:r>
        <w:rPr>
          <w:rFonts w:hint="eastAsia" w:asciiTheme="minorEastAsia" w:hAnsiTheme="minorEastAsia" w:eastAsiaTheme="minorEastAsia" w:cstheme="minorEastAsia"/>
          <w:color w:val="auto"/>
        </w:rPr>
        <w:t>所有产品须符合食品接触材料国家标准（GB 4806系列）；</w:t>
      </w:r>
    </w:p>
    <w:p w14:paraId="5D207A96">
      <w:pPr>
        <w:pStyle w:val="6"/>
        <w:keepNext w:val="0"/>
        <w:keepLines w:val="0"/>
        <w:widowControl/>
        <w:suppressLineNumbers w:val="0"/>
        <w:ind w:left="720"/>
        <w:rPr>
          <w:rFonts w:hint="eastAsia" w:asciiTheme="minorEastAsia" w:hAnsiTheme="minorEastAsia" w:eastAsiaTheme="minorEastAsia" w:cstheme="minorEastAsia"/>
          <w:color w:val="auto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 w:bidi="ar-SA"/>
        </w:rPr>
        <w:t>2.</w:t>
      </w:r>
      <w:r>
        <w:rPr>
          <w:rFonts w:hint="eastAsia" w:asciiTheme="minorEastAsia" w:hAnsiTheme="minorEastAsia" w:eastAsiaTheme="minorEastAsia" w:cstheme="minorEastAsia"/>
          <w:color w:val="auto"/>
        </w:rPr>
        <w:t>投标时须提供与清单对应的</w:t>
      </w:r>
      <w:r>
        <w:rPr>
          <w:rStyle w:val="9"/>
          <w:rFonts w:hint="eastAsia" w:asciiTheme="minorEastAsia" w:hAnsiTheme="minorEastAsia" w:eastAsiaTheme="minorEastAsia" w:cstheme="minorEastAsia"/>
          <w:color w:val="auto"/>
        </w:rPr>
        <w:t>实物样品</w:t>
      </w:r>
      <w:r>
        <w:rPr>
          <w:rFonts w:hint="eastAsia" w:asciiTheme="minorEastAsia" w:hAnsiTheme="minorEastAsia" w:eastAsiaTheme="minorEastAsia" w:cstheme="minorEastAsia"/>
          <w:color w:val="auto"/>
        </w:rPr>
        <w:t>，中标后封样，作为验收依据；</w:t>
      </w:r>
    </w:p>
    <w:p w14:paraId="2A994967">
      <w:pPr>
        <w:pStyle w:val="6"/>
        <w:keepNext w:val="0"/>
        <w:keepLines w:val="0"/>
        <w:widowControl/>
        <w:suppressLineNumbers w:val="0"/>
        <w:ind w:left="720"/>
        <w:rPr>
          <w:rFonts w:hint="eastAsia" w:asciiTheme="minorEastAsia" w:hAnsiTheme="minorEastAsia" w:eastAsiaTheme="minorEastAsia" w:cstheme="minorEastAsia"/>
          <w:color w:val="auto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 w:bidi="ar-SA"/>
        </w:rPr>
        <w:t>3.</w:t>
      </w:r>
      <w:r>
        <w:rPr>
          <w:rFonts w:hint="eastAsia" w:asciiTheme="minorEastAsia" w:hAnsiTheme="minorEastAsia" w:eastAsiaTheme="minorEastAsia" w:cstheme="minorEastAsia"/>
          <w:color w:val="auto"/>
        </w:rPr>
        <w:t>交付时间：接到通知后3日内送达，紧急情况5小时内送达；</w:t>
      </w:r>
    </w:p>
    <w:p w14:paraId="68DD423D">
      <w:pPr>
        <w:pStyle w:val="6"/>
        <w:keepNext w:val="0"/>
        <w:keepLines w:val="0"/>
        <w:widowControl/>
        <w:suppressLineNumbers w:val="0"/>
        <w:ind w:left="720"/>
        <w:rPr>
          <w:rFonts w:hint="eastAsia" w:asciiTheme="minorEastAsia" w:hAnsiTheme="minorEastAsia" w:eastAsiaTheme="minorEastAsia" w:cstheme="minorEastAsia"/>
          <w:color w:val="auto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 w:bidi="ar-SA"/>
        </w:rPr>
        <w:t>4.</w:t>
      </w:r>
      <w:r>
        <w:rPr>
          <w:rFonts w:hint="eastAsia" w:asciiTheme="minorEastAsia" w:hAnsiTheme="minorEastAsia" w:eastAsiaTheme="minorEastAsia" w:cstheme="minorEastAsia"/>
          <w:color w:val="auto"/>
        </w:rPr>
        <w:t>出现破损、受潮、以次充好，无条件退换，响应时间≤4小时；</w:t>
      </w:r>
    </w:p>
    <w:p w14:paraId="4C04D898">
      <w:pPr>
        <w:pStyle w:val="6"/>
        <w:keepNext w:val="0"/>
        <w:keepLines w:val="0"/>
        <w:widowControl/>
        <w:suppressLineNumbers w:val="0"/>
        <w:ind w:left="720"/>
        <w:rPr>
          <w:rFonts w:hint="eastAsia" w:asciiTheme="minorEastAsia" w:hAnsiTheme="minorEastAsia" w:eastAsiaTheme="minorEastAsia" w:cstheme="minorEastAsia"/>
          <w:color w:val="auto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 w:bidi="ar-SA"/>
        </w:rPr>
        <w:t>5.</w:t>
      </w:r>
      <w:r>
        <w:rPr>
          <w:rFonts w:hint="eastAsia" w:asciiTheme="minorEastAsia" w:hAnsiTheme="minorEastAsia" w:eastAsiaTheme="minorEastAsia" w:cstheme="minorEastAsia"/>
          <w:color w:val="auto"/>
        </w:rPr>
        <w:t>不得更换品牌规格，确需更换须采购人书面确认且同结算率执行。</w:t>
      </w:r>
    </w:p>
    <w:p w14:paraId="20D55243">
      <w:pPr>
        <w:pStyle w:val="4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四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报价要求</w:t>
      </w:r>
    </w:p>
    <w:p w14:paraId="5D086AD2">
      <w:pPr>
        <w:pStyle w:val="6"/>
        <w:keepNext w:val="0"/>
        <w:keepLines w:val="0"/>
        <w:widowControl/>
        <w:suppressLineNumbers w:val="0"/>
        <w:ind w:left="720"/>
        <w:rPr>
          <w:rFonts w:hint="eastAsia" w:asciiTheme="minorEastAsia" w:hAnsiTheme="minorEastAsia" w:eastAsiaTheme="minorEastAsia" w:cstheme="minorEastAsia"/>
          <w:color w:val="auto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 w:bidi="ar-SA"/>
        </w:rPr>
        <w:t>1.</w:t>
      </w:r>
      <w:r>
        <w:rPr>
          <w:rFonts w:hint="eastAsia" w:asciiTheme="minorEastAsia" w:hAnsiTheme="minorEastAsia" w:eastAsiaTheme="minorEastAsia" w:cstheme="minorEastAsia"/>
          <w:color w:val="auto"/>
        </w:rPr>
        <w:t>供应商报</w:t>
      </w:r>
      <w:r>
        <w:rPr>
          <w:rStyle w:val="9"/>
          <w:rFonts w:hint="eastAsia" w:asciiTheme="minorEastAsia" w:hAnsiTheme="minorEastAsia" w:eastAsiaTheme="minorEastAsia" w:cstheme="minorEastAsia"/>
          <w:color w:val="auto"/>
        </w:rPr>
        <w:t>统一结算率</w:t>
      </w:r>
      <w:r>
        <w:rPr>
          <w:rFonts w:hint="eastAsia" w:asciiTheme="minorEastAsia" w:hAnsiTheme="minorEastAsia" w:eastAsiaTheme="minorEastAsia" w:cstheme="minorEastAsia"/>
          <w:color w:val="auto"/>
        </w:rPr>
        <w:t>，结算率≤100%，超过则响应无效；</w:t>
      </w:r>
    </w:p>
    <w:p w14:paraId="1B522D1A">
      <w:pPr>
        <w:pStyle w:val="6"/>
        <w:keepNext w:val="0"/>
        <w:keepLines w:val="0"/>
        <w:widowControl/>
        <w:suppressLineNumbers w:val="0"/>
        <w:ind w:left="720"/>
        <w:rPr>
          <w:rFonts w:hint="eastAsia" w:asciiTheme="minorEastAsia" w:hAnsiTheme="minorEastAsia" w:eastAsiaTheme="minorEastAsia" w:cstheme="minorEastAsia"/>
          <w:color w:val="auto"/>
        </w:rPr>
      </w:pPr>
      <w:r>
        <w:rPr>
          <w:rFonts w:hint="default" w:asciiTheme="minorEastAsia" w:hAnsiTheme="minorEastAsia" w:cstheme="minorEastAsia"/>
          <w:color w:val="auto"/>
          <w:kern w:val="2"/>
          <w:sz w:val="24"/>
          <w:szCs w:val="24"/>
          <w:lang w:eastAsia="zh-CN" w:bidi="ar-SA"/>
          <w:woUserID w:val="2"/>
        </w:rPr>
        <w:t>2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 w:bidi="ar-SA"/>
        </w:rPr>
        <w:t>.</w:t>
      </w:r>
      <w:r>
        <w:rPr>
          <w:rFonts w:hint="eastAsia" w:asciiTheme="minorEastAsia" w:hAnsiTheme="minorEastAsia" w:eastAsiaTheme="minorEastAsia" w:cstheme="minorEastAsia"/>
          <w:color w:val="auto"/>
        </w:rPr>
        <w:t>本项目不设技术分、服务分，仅以结算率为唯一评审因素。</w:t>
      </w:r>
    </w:p>
    <w:p w14:paraId="42F3FB36">
      <w:pPr>
        <w:pStyle w:val="4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五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考核与扣款</w:t>
      </w:r>
    </w:p>
    <w:tbl>
      <w:tblPr>
        <w:tblStyle w:val="7"/>
        <w:tblW w:w="85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3126"/>
        <w:gridCol w:w="3705"/>
      </w:tblGrid>
      <w:tr w14:paraId="70B20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90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考核项</w:t>
            </w:r>
          </w:p>
        </w:tc>
        <w:tc>
          <w:tcPr>
            <w:tcW w:w="3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FF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标准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46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处理</w:t>
            </w:r>
          </w:p>
        </w:tc>
      </w:tr>
      <w:tr w14:paraId="1607E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03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送货准时性</w:t>
            </w:r>
          </w:p>
        </w:tc>
        <w:tc>
          <w:tcPr>
            <w:tcW w:w="3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D6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常规3日，紧急5小时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8C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每延迟1次扣款50元</w:t>
            </w:r>
          </w:p>
        </w:tc>
      </w:tr>
      <w:tr w14:paraId="26A5E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23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货物质量</w:t>
            </w:r>
          </w:p>
        </w:tc>
        <w:tc>
          <w:tcPr>
            <w:tcW w:w="3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6C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不得以次充好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13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发现1次退换并扣款200元</w:t>
            </w:r>
          </w:p>
        </w:tc>
      </w:tr>
      <w:tr w14:paraId="5413A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A1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结算</w:t>
            </w:r>
            <w:r>
              <w:rPr>
                <w:rFonts w:hint="default" w:asciiTheme="minorEastAsia" w:hAnsi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eastAsia="zh-CN" w:bidi="ar"/>
                <w:woUserID w:val="2"/>
              </w:rPr>
              <w:t>单价</w:t>
            </w:r>
          </w:p>
        </w:tc>
        <w:tc>
          <w:tcPr>
            <w:tcW w:w="3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CC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须按</w:t>
            </w:r>
            <w:r>
              <w:rPr>
                <w:rFonts w:hint="default" w:asciiTheme="minorEastAsia" w:hAnsi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eastAsia="zh-CN" w:bidi="ar"/>
                <w:woUserID w:val="2"/>
              </w:rPr>
              <w:t>“招标控制单价”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×R执行</w:t>
            </w:r>
          </w:p>
        </w:tc>
        <w:tc>
          <w:tcPr>
            <w:tcW w:w="3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66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超标部分双倍扣回</w:t>
            </w:r>
          </w:p>
        </w:tc>
      </w:tr>
    </w:tbl>
    <w:p w14:paraId="4ED32C25">
      <w:pPr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color w:val="auto"/>
        </w:rPr>
      </w:pPr>
    </w:p>
    <w:p w14:paraId="3C969B32">
      <w:pPr>
        <w:pStyle w:val="4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七、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 xml:space="preserve">投标人须知 </w:t>
      </w:r>
    </w:p>
    <w:tbl>
      <w:tblPr>
        <w:tblStyle w:val="7"/>
        <w:tblW w:w="842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6"/>
        <w:gridCol w:w="6353"/>
      </w:tblGrid>
      <w:tr w14:paraId="6A373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C5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条款</w:t>
            </w:r>
          </w:p>
        </w:tc>
        <w:tc>
          <w:tcPr>
            <w:tcW w:w="6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7E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内容</w:t>
            </w:r>
          </w:p>
        </w:tc>
      </w:tr>
      <w:tr w14:paraId="56CB2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31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报价文件</w:t>
            </w:r>
          </w:p>
        </w:tc>
        <w:tc>
          <w:tcPr>
            <w:tcW w:w="6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58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单独装订密封，含《</w:t>
            </w:r>
            <w:r>
              <w:rPr>
                <w:rFonts w:hint="default" w:asciiTheme="minorEastAsia" w:hAnsi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eastAsia="zh-CN" w:bidi="ar"/>
                <w:woUserID w:val="1"/>
              </w:rPr>
              <w:t>投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标</w:t>
            </w:r>
            <w:r>
              <w:rPr>
                <w:rFonts w:hint="default" w:asciiTheme="minorEastAsia" w:hAnsi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eastAsia="zh-CN" w:bidi="ar"/>
                <w:woUserID w:val="1"/>
              </w:rPr>
              <w:t>报价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一览表》</w:t>
            </w:r>
          </w:p>
        </w:tc>
      </w:tr>
      <w:tr w14:paraId="0DF1A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64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资格及商技文件</w:t>
            </w:r>
          </w:p>
        </w:tc>
        <w:tc>
          <w:tcPr>
            <w:tcW w:w="6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F0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营业执照、承诺函、样品清单、服务承诺，合并装订</w:t>
            </w:r>
          </w:p>
        </w:tc>
      </w:tr>
      <w:tr w14:paraId="62262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90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同分处理</w:t>
            </w:r>
          </w:p>
        </w:tc>
        <w:tc>
          <w:tcPr>
            <w:tcW w:w="6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83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Theme="minorEastAsia" w:hAnsi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eastAsia="zh-CN" w:bidi="ar"/>
                <w:woUserID w:val="2"/>
              </w:rPr>
              <w:t>最低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结算率相同</w:t>
            </w:r>
            <w:r>
              <w:rPr>
                <w:rFonts w:hint="default" w:asciiTheme="minorEastAsia" w:hAnsi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eastAsia="zh-CN" w:bidi="ar"/>
                <w:woUserID w:val="2"/>
              </w:rPr>
              <w:t>则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抽签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决定</w:t>
            </w:r>
          </w:p>
        </w:tc>
      </w:tr>
    </w:tbl>
    <w:p w14:paraId="6DD64083">
      <w:pPr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color w:val="auto"/>
        </w:rPr>
      </w:pPr>
    </w:p>
    <w:p w14:paraId="29EA647B">
      <w:pPr>
        <w:pStyle w:val="4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八、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 xml:space="preserve"> 评标方法及评标标准</w:t>
      </w:r>
    </w:p>
    <w:p w14:paraId="5BFD51D6">
      <w:pPr>
        <w:pStyle w:val="4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（一）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 xml:space="preserve">评标方法 </w:t>
      </w:r>
    </w:p>
    <w:p w14:paraId="6D119FD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</w:rPr>
      </w:pPr>
      <w:r>
        <w:rPr>
          <w:rStyle w:val="9"/>
          <w:rFonts w:hint="eastAsia" w:asciiTheme="minorEastAsia" w:hAnsiTheme="minorEastAsia" w:eastAsiaTheme="minorEastAsia" w:cstheme="minorEastAsia"/>
          <w:color w:val="auto"/>
        </w:rPr>
        <w:t>最低结算率法</w:t>
      </w:r>
      <w:r>
        <w:rPr>
          <w:rFonts w:hint="eastAsia" w:asciiTheme="minorEastAsia" w:hAnsiTheme="minorEastAsia" w:eastAsiaTheme="minorEastAsia" w:cstheme="minorEastAsia"/>
          <w:color w:val="auto"/>
        </w:rPr>
        <w:t>（纯价格比例排序，不设综合评分）</w:t>
      </w:r>
    </w:p>
    <w:p w14:paraId="490EEF36">
      <w:pPr>
        <w:pStyle w:val="4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（二）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 xml:space="preserve">评审规则 </w:t>
      </w:r>
    </w:p>
    <w:tbl>
      <w:tblPr>
        <w:tblStyle w:val="7"/>
        <w:tblW w:w="842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6"/>
        <w:gridCol w:w="6503"/>
      </w:tblGrid>
      <w:tr w14:paraId="62F69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2C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环节</w:t>
            </w:r>
          </w:p>
        </w:tc>
        <w:tc>
          <w:tcPr>
            <w:tcW w:w="6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E1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规则</w:t>
            </w:r>
          </w:p>
        </w:tc>
      </w:tr>
      <w:tr w14:paraId="56FCC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36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符合性审查</w:t>
            </w:r>
          </w:p>
        </w:tc>
        <w:tc>
          <w:tcPr>
            <w:tcW w:w="6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0B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营业执照有效、样品齐全、报价文件完整、结算率≤100%，任一项不符废标</w:t>
            </w:r>
          </w:p>
        </w:tc>
      </w:tr>
      <w:tr w14:paraId="24D1F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08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排序</w:t>
            </w:r>
          </w:p>
        </w:tc>
        <w:tc>
          <w:tcPr>
            <w:tcW w:w="6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EC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按结算率由低到高排序，最低者推荐为第一中标候选人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​</w:t>
            </w:r>
          </w:p>
        </w:tc>
      </w:tr>
      <w:tr w14:paraId="6A46F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14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同分破局</w:t>
            </w:r>
          </w:p>
        </w:tc>
        <w:tc>
          <w:tcPr>
            <w:tcW w:w="6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C0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抽签</w:t>
            </w:r>
          </w:p>
        </w:tc>
      </w:tr>
    </w:tbl>
    <w:p w14:paraId="2CBAD791">
      <w:pPr>
        <w:pStyle w:val="4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</w:p>
    <w:p w14:paraId="119A1564">
      <w:pPr>
        <w:rPr>
          <w:rFonts w:hint="eastAsia"/>
          <w:lang w:val="en-US" w:eastAsia="zh-CN"/>
        </w:rPr>
      </w:pPr>
    </w:p>
    <w:p w14:paraId="67AA4B73">
      <w:pPr>
        <w:pStyle w:val="4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b/>
          <w:bCs/>
          <w:color w:val="auto"/>
          <w:kern w:val="0"/>
          <w:sz w:val="28"/>
          <w:szCs w:val="28"/>
          <w:lang w:val="zh-CN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九、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0"/>
          <w:sz w:val="28"/>
          <w:szCs w:val="28"/>
          <w:lang w:val="zh-CN" w:eastAsia="zh-CN" w:bidi="ar"/>
        </w:rPr>
        <w:t>投标报价一览表</w:t>
      </w:r>
    </w:p>
    <w:p w14:paraId="1A387BF9">
      <w:pPr>
        <w:pStyle w:val="6"/>
        <w:keepNext w:val="0"/>
        <w:keepLines w:val="0"/>
        <w:widowControl/>
        <w:suppressLineNumbers w:val="0"/>
        <w:ind w:right="72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投标人名称(盖章):</w:t>
      </w:r>
    </w:p>
    <w:p w14:paraId="33706844">
      <w:pPr>
        <w:pStyle w:val="6"/>
        <w:keepNext w:val="0"/>
        <w:keepLines w:val="0"/>
        <w:widowControl/>
        <w:suppressLineNumbers w:val="0"/>
        <w:ind w:right="720"/>
        <w:rPr>
          <w:color w:val="auto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项目名称：</w:t>
      </w:r>
      <w:r>
        <w:rPr>
          <w:rFonts w:hint="eastAsia" w:asciiTheme="minorEastAsia" w:hAnsiTheme="minorEastAsia" w:eastAsiaTheme="minorEastAsia" w:cstheme="minorEastAsia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食堂一次性餐具采购</w:t>
      </w:r>
    </w:p>
    <w:p w14:paraId="312AD2D8">
      <w:pPr>
        <w:pStyle w:val="6"/>
        <w:keepNext w:val="0"/>
        <w:keepLines w:val="0"/>
        <w:widowControl/>
        <w:suppressLineNumbers w:val="0"/>
        <w:ind w:right="720"/>
        <w:rPr>
          <w:rFonts w:hint="default" w:asciiTheme="minorEastAsia" w:hAnsiTheme="minorEastAsia" w:cstheme="minorEastAsia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采购编号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CCYY202610</w:t>
      </w:r>
      <w:r>
        <w:rPr>
          <w:rFonts w:hint="eastAsia" w:asciiTheme="minorEastAsia" w:hAnsiTheme="minorEastAsia" w:cstheme="minorEastAsia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14</w:t>
      </w:r>
    </w:p>
    <w:tbl>
      <w:tblPr>
        <w:tblStyle w:val="7"/>
        <w:tblW w:w="842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035"/>
        <w:gridCol w:w="1185"/>
        <w:gridCol w:w="2145"/>
        <w:gridCol w:w="675"/>
        <w:gridCol w:w="1215"/>
        <w:gridCol w:w="1328"/>
      </w:tblGrid>
      <w:tr w14:paraId="549B5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tblHeader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74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80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12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材质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C9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规格尺寸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F7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49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量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9A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</w:rPr>
              <w:t>招标控制单价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（元）</w:t>
            </w:r>
          </w:p>
        </w:tc>
      </w:tr>
      <w:tr w14:paraId="46386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F9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2E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四格餐盒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1C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玉米淀粉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D4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长24.9×宽18.8×高4.8cm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1C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70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81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1.06</w:t>
            </w:r>
          </w:p>
        </w:tc>
      </w:tr>
      <w:tr w14:paraId="63DAD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31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69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汤勺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1F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玉米淀粉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38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长度13.5cm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8B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D0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86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0.09</w:t>
            </w:r>
          </w:p>
        </w:tc>
      </w:tr>
      <w:tr w14:paraId="639D7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10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9A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5.0圆筷子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41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竹子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36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长度20cm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C4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双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43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0D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0.04</w:t>
            </w:r>
          </w:p>
        </w:tc>
      </w:tr>
      <w:tr w14:paraId="7A352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D1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BC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500圆碗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B6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食品级PP塑料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84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口径11.7cm/高7.5cm/底7.8cm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F1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B1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90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0.27</w:t>
            </w:r>
          </w:p>
        </w:tc>
      </w:tr>
      <w:tr w14:paraId="68169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9E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41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1000圆碗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1A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食品级PP塑料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2A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口径15cm/高8.8cm/底10.2cm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F3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16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8C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0.4</w:t>
            </w:r>
          </w:p>
        </w:tc>
      </w:tr>
      <w:tr w14:paraId="54C04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E3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4E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食品袋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72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食品级PP塑料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D0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20×20cm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11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CA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9C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0.035</w:t>
            </w:r>
          </w:p>
        </w:tc>
      </w:tr>
      <w:tr w14:paraId="6D63F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75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F1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食品袋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23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食品级PP塑料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58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46×30cm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CC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C7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76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0.1</w:t>
            </w:r>
          </w:p>
        </w:tc>
      </w:tr>
      <w:tr w14:paraId="35684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33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91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纸盘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50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纸浆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0D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18cm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61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69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93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0.25</w:t>
            </w:r>
          </w:p>
        </w:tc>
      </w:tr>
      <w:tr w14:paraId="368EE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31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04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纸杯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AF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食品级纸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87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9盎司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3E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8E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0E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0.09</w:t>
            </w:r>
          </w:p>
        </w:tc>
      </w:tr>
      <w:tr w14:paraId="7579F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30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3D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MingLiU_HKSCS"/>
                <w:bCs/>
                <w:color w:val="auto"/>
                <w:kern w:val="0"/>
                <w:sz w:val="24"/>
                <w:szCs w:val="24"/>
                <w:highlight w:val="none"/>
                <w:lang w:val="zh-CN" w:eastAsia="zh-CN" w:bidi="zh-CN"/>
              </w:rPr>
            </w:pPr>
            <w:r>
              <w:rPr>
                <w:rFonts w:hint="default" w:ascii="Times New Roman" w:hAnsi="Times New Roman" w:eastAsia="宋体" w:cs="MingLiU_HKSCS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zh-CN"/>
              </w:rPr>
              <w:t>​</w:t>
            </w:r>
          </w:p>
          <w:p w14:paraId="5FC50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MingLiU_HKSCS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MingLiU_HKSCS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zh-CN"/>
              </w:rPr>
              <w:t>统一结算率</w:t>
            </w:r>
            <w:r>
              <w:rPr>
                <w:rFonts w:hint="default" w:ascii="Times New Roman" w:hAnsi="Times New Roman" w:eastAsia="宋体" w:cs="MingLiU_HKSCS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zh-CN"/>
              </w:rPr>
              <w:t>​</w:t>
            </w:r>
          </w:p>
        </w:tc>
        <w:tc>
          <w:tcPr>
            <w:tcW w:w="40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5F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MingLiU_HKSCS"/>
                <w:bCs/>
                <w:color w:val="auto"/>
                <w:kern w:val="0"/>
                <w:sz w:val="24"/>
                <w:szCs w:val="24"/>
                <w:highlight w:val="none"/>
                <w:lang w:val="zh-CN" w:eastAsia="zh-CN" w:bidi="zh-CN"/>
              </w:rPr>
            </w:pPr>
          </w:p>
          <w:p w14:paraId="7F2CBC6C">
            <w:pPr>
              <w:keepNext w:val="0"/>
              <w:keepLines w:val="0"/>
              <w:widowControl/>
              <w:suppressLineNumbers w:val="0"/>
              <w:ind w:firstLine="2640" w:firstLineChars="1100"/>
              <w:jc w:val="left"/>
              <w:textAlignment w:val="center"/>
              <w:rPr>
                <w:rFonts w:hint="eastAsia" w:ascii="Times New Roman" w:hAnsi="Times New Roman" w:eastAsia="宋体" w:cs="MingLiU_HKSCS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zh-CN"/>
              </w:rPr>
            </w:pPr>
            <w:r>
              <w:rPr>
                <w:rFonts w:hint="default" w:ascii="Times New Roman" w:hAnsi="Times New Roman" w:eastAsia="宋体" w:cs="MingLiU_HKSCS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zh-CN"/>
              </w:rPr>
              <w:t>_____ %​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A7A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MingLiU_HKSCS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MingLiU_HKSCS"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zh-CN"/>
              </w:rPr>
              <w:t>所有品类适用此单一结算率</w:t>
            </w:r>
          </w:p>
        </w:tc>
      </w:tr>
    </w:tbl>
    <w:p w14:paraId="07258440">
      <w:pPr>
        <w:pStyle w:val="6"/>
        <w:keepNext w:val="0"/>
        <w:keepLines w:val="0"/>
        <w:widowControl/>
        <w:suppressLineNumbers w:val="0"/>
        <w:rPr>
          <w:rFonts w:hint="eastAsia" w:ascii="Times New Roman" w:hAnsi="Times New Roman" w:eastAsia="宋体" w:cs="MingLiU_HKSCS"/>
          <w:bCs/>
          <w:color w:val="auto"/>
          <w:kern w:val="0"/>
          <w:sz w:val="24"/>
          <w:szCs w:val="24"/>
          <w:highlight w:val="none"/>
          <w:lang w:val="zh-CN" w:eastAsia="zh-CN" w:bidi="zh-CN"/>
        </w:rPr>
      </w:pPr>
      <w:r>
        <w:rPr>
          <w:rFonts w:hint="eastAsia" w:ascii="Times New Roman" w:hAnsi="Times New Roman" w:eastAsia="宋体" w:cs="MingLiU_HKSCS"/>
          <w:bCs/>
          <w:color w:val="auto"/>
          <w:kern w:val="0"/>
          <w:sz w:val="24"/>
          <w:szCs w:val="24"/>
          <w:highlight w:val="none"/>
          <w:lang w:val="zh-CN" w:eastAsia="zh-CN" w:bidi="zh-CN"/>
        </w:rPr>
        <w:t>填报说明：</w:t>
      </w:r>
    </w:p>
    <w:p w14:paraId="6B238065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rPr>
          <w:rFonts w:hint="eastAsia" w:ascii="Times New Roman" w:hAnsi="Times New Roman" w:eastAsia="宋体" w:cs="MingLiU_HKSCS"/>
          <w:bCs/>
          <w:color w:val="auto"/>
          <w:kern w:val="0"/>
          <w:sz w:val="24"/>
          <w:szCs w:val="24"/>
          <w:highlight w:val="none"/>
          <w:lang w:val="zh-CN" w:eastAsia="zh-CN" w:bidi="zh-CN"/>
        </w:rPr>
      </w:pPr>
      <w:r>
        <w:rPr>
          <w:rFonts w:hint="eastAsia" w:ascii="Times New Roman" w:hAnsi="Times New Roman" w:eastAsia="宋体" w:cs="MingLiU_HKSCS"/>
          <w:bCs/>
          <w:color w:val="auto"/>
          <w:kern w:val="0"/>
          <w:sz w:val="24"/>
          <w:szCs w:val="24"/>
          <w:highlight w:val="none"/>
          <w:lang w:val="zh-CN" w:eastAsia="zh-CN" w:bidi="zh-CN"/>
        </w:rPr>
        <w:t>本项目要求填报唯一结算率，即所有货物均按此统一比例结算。</w:t>
      </w:r>
    </w:p>
    <w:p w14:paraId="490E24DB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rPr>
          <w:color w:val="auto"/>
        </w:rPr>
      </w:pPr>
      <w:r>
        <w:rPr>
          <w:rFonts w:hint="eastAsia" w:ascii="Times New Roman" w:hAnsi="Times New Roman" w:eastAsia="宋体" w:cs="MingLiU_HKSCS"/>
          <w:bCs/>
          <w:color w:val="auto"/>
          <w:kern w:val="0"/>
          <w:sz w:val="24"/>
          <w:szCs w:val="24"/>
          <w:highlight w:val="none"/>
          <w:lang w:val="en-US" w:eastAsia="zh-CN" w:bidi="zh-CN"/>
        </w:rPr>
        <w:t>2.</w:t>
      </w:r>
      <w:r>
        <w:rPr>
          <w:rFonts w:hint="eastAsia" w:ascii="Times New Roman" w:hAnsi="Times New Roman" w:eastAsia="宋体" w:cs="MingLiU_HKSCS"/>
          <w:bCs/>
          <w:color w:val="auto"/>
          <w:kern w:val="0"/>
          <w:sz w:val="24"/>
          <w:szCs w:val="24"/>
          <w:highlight w:val="none"/>
          <w:lang w:val="zh-CN" w:eastAsia="zh-CN" w:bidi="zh-CN"/>
        </w:rPr>
        <w:t>结算率示例：填95.50表示按控制价的95.5%结算；填100.00表示不优惠。</w:t>
      </w:r>
    </w:p>
    <w:p w14:paraId="714BD3D1">
      <w:pPr>
        <w:pStyle w:val="6"/>
        <w:keepNext w:val="0"/>
        <w:keepLines w:val="0"/>
        <w:widowControl/>
        <w:suppressLineNumbers w:val="0"/>
        <w:rPr>
          <w:color w:val="auto"/>
        </w:rPr>
      </w:pPr>
      <w:r>
        <w:rPr>
          <w:color w:val="auto"/>
        </w:rPr>
        <w:t>法定代表人或授权代表（签字）：__________</w:t>
      </w:r>
    </w:p>
    <w:p w14:paraId="62149E61">
      <w:pPr>
        <w:pStyle w:val="6"/>
        <w:keepNext w:val="0"/>
        <w:keepLines w:val="0"/>
        <w:widowControl/>
        <w:suppressLineNumbers w:val="0"/>
        <w:rPr>
          <w:rFonts w:hint="default" w:eastAsia="宋体"/>
          <w:color w:val="auto"/>
          <w:u w:val="single"/>
          <w:lang w:val="en-US" w:eastAsia="zh-CN"/>
        </w:rPr>
      </w:pPr>
      <w:r>
        <w:rPr>
          <w:rFonts w:hint="eastAsia"/>
          <w:color w:val="auto"/>
          <w:lang w:val="en-US" w:eastAsia="zh-CN"/>
        </w:rPr>
        <w:t>联系电话：</w:t>
      </w:r>
      <w:r>
        <w:rPr>
          <w:rFonts w:hint="eastAsia"/>
          <w:color w:val="auto"/>
          <w:u w:val="single"/>
          <w:lang w:val="en-US" w:eastAsia="zh-CN"/>
        </w:rPr>
        <w:t xml:space="preserve">                        </w:t>
      </w:r>
    </w:p>
    <w:p w14:paraId="3F96C0D2">
      <w:pPr>
        <w:pStyle w:val="6"/>
        <w:keepNext w:val="0"/>
        <w:keepLines w:val="0"/>
        <w:widowControl/>
        <w:suppressLineNumbers w:val="0"/>
        <w:rPr>
          <w:color w:val="auto"/>
        </w:rPr>
      </w:pPr>
      <w:r>
        <w:rPr>
          <w:color w:val="auto"/>
        </w:rPr>
        <w:t>日期：2026年</w:t>
      </w:r>
      <w:r>
        <w:rPr>
          <w:rFonts w:hint="eastAsia"/>
          <w:color w:val="auto"/>
          <w:lang w:val="en-US" w:eastAsia="zh-CN"/>
        </w:rPr>
        <w:t xml:space="preserve">   </w:t>
      </w:r>
      <w:r>
        <w:rPr>
          <w:rStyle w:val="9"/>
          <w:b w:val="0"/>
          <w:bCs/>
          <w:color w:val="auto"/>
        </w:rPr>
        <w:t>月</w:t>
      </w:r>
      <w:r>
        <w:rPr>
          <w:rStyle w:val="9"/>
          <w:rFonts w:hint="eastAsia"/>
          <w:color w:val="auto"/>
          <w:lang w:val="en-US" w:eastAsia="zh-CN"/>
        </w:rPr>
        <w:t xml:space="preserve">   </w:t>
      </w:r>
      <w:r>
        <w:rPr>
          <w:color w:val="auto"/>
        </w:rPr>
        <w:t>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_HKSCS">
    <w:altName w:val="Georgia"/>
    <w:panose1 w:val="02020500000000000000"/>
    <w:charset w:val="00"/>
    <w:family w:val="roman"/>
    <w:pitch w:val="default"/>
    <w:sig w:usb0="00000000" w:usb1="00000000" w:usb2="00000016" w:usb3="00000000" w:csb0="00100001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E0CEF8"/>
    <w:multiLevelType w:val="singleLevel"/>
    <w:tmpl w:val="DFE0CEF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0B7C58"/>
    <w:rsid w:val="01AA7D1B"/>
    <w:rsid w:val="05FD287F"/>
    <w:rsid w:val="0DD84B52"/>
    <w:rsid w:val="0FDD24D3"/>
    <w:rsid w:val="10EF74F9"/>
    <w:rsid w:val="16482BDC"/>
    <w:rsid w:val="17D23921"/>
    <w:rsid w:val="1B252495"/>
    <w:rsid w:val="1C1425F4"/>
    <w:rsid w:val="1C3644FE"/>
    <w:rsid w:val="1C664AEF"/>
    <w:rsid w:val="1F7C289F"/>
    <w:rsid w:val="20E63CC8"/>
    <w:rsid w:val="287967F4"/>
    <w:rsid w:val="30960FDD"/>
    <w:rsid w:val="30D14A40"/>
    <w:rsid w:val="34613C76"/>
    <w:rsid w:val="3BD31641"/>
    <w:rsid w:val="4070745F"/>
    <w:rsid w:val="421F113C"/>
    <w:rsid w:val="42CD18B8"/>
    <w:rsid w:val="43A318F9"/>
    <w:rsid w:val="442F7531"/>
    <w:rsid w:val="45B55914"/>
    <w:rsid w:val="4B5D2CD5"/>
    <w:rsid w:val="53EB5057"/>
    <w:rsid w:val="54971006"/>
    <w:rsid w:val="590B7C58"/>
    <w:rsid w:val="5A601E9A"/>
    <w:rsid w:val="5A6E746B"/>
    <w:rsid w:val="64282288"/>
    <w:rsid w:val="64892D02"/>
    <w:rsid w:val="669C5EBA"/>
    <w:rsid w:val="68CD4698"/>
    <w:rsid w:val="6A553A32"/>
    <w:rsid w:val="77B06B00"/>
    <w:rsid w:val="7AFD1314"/>
    <w:rsid w:val="7D905BFB"/>
    <w:rsid w:val="7FDF1DD3"/>
    <w:rsid w:val="BFFB3BE4"/>
    <w:rsid w:val="DC5F0264"/>
    <w:rsid w:val="F9BF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6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Plain Text"/>
    <w:basedOn w:val="1"/>
    <w:next w:val="1"/>
    <w:qFormat/>
    <w:uiPriority w:val="6"/>
    <w:rPr>
      <w:rFonts w:ascii="宋体" w:hAnsi="Courier New"/>
      <w:szCs w:val="20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TML Code"/>
    <w:basedOn w:val="8"/>
    <w:qFormat/>
    <w:uiPriority w:val="0"/>
    <w:rPr>
      <w:rFonts w:ascii="Courier New" w:hAnsi="Courier New"/>
      <w:sz w:val="20"/>
    </w:rPr>
  </w:style>
  <w:style w:type="character" w:customStyle="1" w:styleId="11">
    <w:name w:val="font2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31"/>
    <w:basedOn w:val="8"/>
    <w:qFormat/>
    <w:uiPriority w:val="0"/>
    <w:rPr>
      <w:rFonts w:hint="default" w:ascii="Calibri" w:hAnsi="Calibri" w:cs="Calibri"/>
      <w:color w:val="000000"/>
      <w:sz w:val="24"/>
      <w:szCs w:val="24"/>
      <w:u w:val="none"/>
    </w:rPr>
  </w:style>
  <w:style w:type="character" w:customStyle="1" w:styleId="13">
    <w:name w:val="font41"/>
    <w:basedOn w:val="8"/>
    <w:qFormat/>
    <w:uiPriority w:val="0"/>
    <w:rPr>
      <w:rFonts w:hint="default" w:ascii="Calibri" w:hAnsi="Calibri" w:cs="Calibri"/>
      <w:b/>
      <w:bCs/>
      <w:color w:val="000000"/>
      <w:sz w:val="24"/>
      <w:szCs w:val="24"/>
      <w:u w:val="none"/>
    </w:rPr>
  </w:style>
  <w:style w:type="character" w:customStyle="1" w:styleId="14">
    <w:name w:val="font1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1952</Words>
  <Characters>2312</Characters>
  <Lines>0</Lines>
  <Paragraphs>0</Paragraphs>
  <TotalTime>3</TotalTime>
  <ScaleCrop>false</ScaleCrop>
  <LinksUpToDate>false</LinksUpToDate>
  <CharactersWithSpaces>2358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2026-10-03T16:28:00Z</dcterms:created>
  <dc:creator>刘荣军</dc:creator>
  <cp:lastModifiedBy>ywsy</cp:lastModifiedBy>
  <dcterms:modified xsi:type="dcterms:W3CDTF">2026-10-14T02:13:18Z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48E82161232A456B9797FA2053FD0B7A_13</vt:lpwstr>
  </property>
  <property fmtid="{D5CDD505-2E9C-101B-9397-08002B2CF9AE}" pid="4" name="KSOTemplateDocerSaveRecord">
    <vt:lpwstr>eyJoZGlkIjoiM2FjOTc5NThhNmZlODdiZmRiNjZmYzFjODU3NTNiZmMiLCJ1c2VySWQiOiIxOTUxMjkxMDgifQ==</vt:lpwstr>
  </property>
</Properties>
</file>