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BC481">
      <w:pPr>
        <w:spacing w:line="380" w:lineRule="exact"/>
        <w:rPr>
          <w:rFonts w:hint="eastAsia" w:ascii="新宋体" w:hAnsi="新宋体" w:eastAsia="新宋体"/>
          <w:b/>
          <w:bCs/>
          <w:sz w:val="22"/>
          <w:szCs w:val="22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>附件</w:t>
      </w:r>
      <w:bookmarkStart w:id="0" w:name="_GoBack"/>
      <w:bookmarkEnd w:id="0"/>
    </w:p>
    <w:tbl>
      <w:tblPr>
        <w:tblStyle w:val="2"/>
        <w:tblpPr w:leftFromText="180" w:rightFromText="180" w:vertAnchor="text" w:tblpX="10214" w:tblpY="-2116"/>
        <w:tblOverlap w:val="never"/>
        <w:tblW w:w="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</w:tblGrid>
      <w:tr w14:paraId="01232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17" w:type="dxa"/>
            <w:noWrap w:val="0"/>
            <w:vAlign w:val="top"/>
          </w:tcPr>
          <w:p w14:paraId="76DF28B2">
            <w:pPr>
              <w:spacing w:line="380" w:lineRule="exact"/>
              <w:rPr>
                <w:rFonts w:hint="eastAsia" w:ascii="新宋体" w:hAnsi="新宋体" w:eastAsia="新宋体"/>
                <w:b/>
                <w:bCs/>
                <w:sz w:val="22"/>
                <w:szCs w:val="22"/>
              </w:rPr>
            </w:pPr>
          </w:p>
        </w:tc>
      </w:tr>
      <w:tr w14:paraId="795B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17" w:type="dxa"/>
            <w:noWrap w:val="0"/>
            <w:vAlign w:val="top"/>
          </w:tcPr>
          <w:p w14:paraId="74DDCC14">
            <w:pPr>
              <w:spacing w:line="380" w:lineRule="exact"/>
              <w:rPr>
                <w:rFonts w:hint="eastAsia" w:ascii="新宋体" w:hAnsi="新宋体" w:eastAsia="新宋体"/>
                <w:b/>
                <w:bCs/>
                <w:sz w:val="22"/>
                <w:szCs w:val="22"/>
              </w:rPr>
            </w:pPr>
          </w:p>
        </w:tc>
      </w:tr>
    </w:tbl>
    <w:p w14:paraId="59AA7B31">
      <w:pPr>
        <w:jc w:val="center"/>
        <w:rPr>
          <w:b/>
          <w:bCs/>
          <w:sz w:val="36"/>
        </w:rPr>
      </w:pPr>
      <w:r>
        <w:rPr>
          <w:rFonts w:hAnsi="宋体"/>
          <w:b/>
          <w:bCs/>
          <w:sz w:val="36"/>
        </w:rPr>
        <w:t>报价一览表</w:t>
      </w:r>
    </w:p>
    <w:p w14:paraId="332D90A4">
      <w:pPr>
        <w:rPr>
          <w:rFonts w:hAnsi="宋体"/>
          <w:sz w:val="24"/>
        </w:rPr>
      </w:pPr>
    </w:p>
    <w:p w14:paraId="0A5B0CEF">
      <w:pPr>
        <w:rPr>
          <w:sz w:val="24"/>
        </w:rPr>
      </w:pPr>
      <w:r>
        <w:rPr>
          <w:rFonts w:hAnsi="宋体"/>
          <w:sz w:val="24"/>
        </w:rPr>
        <w:t>投标人名称（盖章）：</w:t>
      </w:r>
      <w:r>
        <w:rPr>
          <w:sz w:val="24"/>
          <w:u w:val="single"/>
        </w:rPr>
        <w:t xml:space="preserve">                    </w:t>
      </w:r>
      <w:r>
        <w:rPr>
          <w:sz w:val="24"/>
        </w:rPr>
        <w:t xml:space="preserve">      </w:t>
      </w:r>
    </w:p>
    <w:tbl>
      <w:tblPr>
        <w:tblStyle w:val="2"/>
        <w:tblpPr w:leftFromText="180" w:rightFromText="180" w:vertAnchor="text" w:horzAnchor="page" w:tblpX="1267" w:tblpY="544"/>
        <w:tblOverlap w:val="never"/>
        <w:tblW w:w="98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660"/>
        <w:gridCol w:w="3185"/>
        <w:gridCol w:w="820"/>
        <w:gridCol w:w="1110"/>
        <w:gridCol w:w="1020"/>
        <w:gridCol w:w="1020"/>
      </w:tblGrid>
      <w:tr w14:paraId="40654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2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A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44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</w:tr>
      <w:tr w14:paraId="6927D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B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A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菌菇礼盒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66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种组合（白木耳</w:t>
            </w:r>
            <w:r>
              <w:rPr>
                <w:rStyle w:val="5"/>
                <w:rFonts w:eastAsia="宋体"/>
                <w:lang w:val="en-US" w:eastAsia="zh-CN" w:bidi="ar"/>
              </w:rPr>
              <w:t>80g</w:t>
            </w:r>
            <w:r>
              <w:rPr>
                <w:rStyle w:val="4"/>
                <w:lang w:val="en-US" w:eastAsia="zh-CN" w:bidi="ar"/>
              </w:rPr>
              <w:t>、黑木耳</w:t>
            </w:r>
            <w:r>
              <w:rPr>
                <w:rStyle w:val="5"/>
                <w:rFonts w:eastAsia="宋体"/>
                <w:lang w:val="en-US" w:eastAsia="zh-CN" w:bidi="ar"/>
              </w:rPr>
              <w:t>125g</w:t>
            </w:r>
            <w:r>
              <w:rPr>
                <w:rStyle w:val="4"/>
                <w:lang w:val="en-US" w:eastAsia="zh-CN" w:bidi="ar"/>
              </w:rPr>
              <w:t>、虫草花</w:t>
            </w:r>
            <w:r>
              <w:rPr>
                <w:rStyle w:val="5"/>
                <w:rFonts w:eastAsia="宋体"/>
                <w:lang w:val="en-US" w:eastAsia="zh-CN" w:bidi="ar"/>
              </w:rPr>
              <w:t>100g</w:t>
            </w:r>
            <w:r>
              <w:rPr>
                <w:rStyle w:val="4"/>
                <w:lang w:val="en-US" w:eastAsia="zh-CN" w:bidi="ar"/>
              </w:rPr>
              <w:t>、笋干</w:t>
            </w:r>
            <w:r>
              <w:rPr>
                <w:rStyle w:val="5"/>
                <w:rFonts w:eastAsia="宋体"/>
                <w:lang w:val="en-US" w:eastAsia="zh-CN" w:bidi="ar"/>
              </w:rPr>
              <w:t>150g</w:t>
            </w:r>
            <w:r>
              <w:rPr>
                <w:rStyle w:val="4"/>
                <w:lang w:val="en-US" w:eastAsia="zh-CN" w:bidi="ar"/>
              </w:rPr>
              <w:t>、精品小香菇</w:t>
            </w:r>
            <w:r>
              <w:rPr>
                <w:rStyle w:val="5"/>
                <w:rFonts w:eastAsia="宋体"/>
                <w:lang w:val="en-US" w:eastAsia="zh-CN" w:bidi="ar"/>
              </w:rPr>
              <w:t>200g</w:t>
            </w:r>
            <w:r>
              <w:rPr>
                <w:rStyle w:val="4"/>
                <w:lang w:val="en-US" w:eastAsia="zh-CN" w:bidi="ar"/>
              </w:rPr>
              <w:t>、鹿茸菇</w:t>
            </w:r>
            <w:r>
              <w:rPr>
                <w:rStyle w:val="5"/>
                <w:rFonts w:eastAsia="宋体"/>
                <w:lang w:val="en-US" w:eastAsia="zh-CN" w:bidi="ar"/>
              </w:rPr>
              <w:t>100g</w:t>
            </w:r>
            <w:r>
              <w:rPr>
                <w:rStyle w:val="4"/>
                <w:lang w:val="en-US" w:eastAsia="zh-CN" w:bidi="ar"/>
              </w:rPr>
              <w:t>）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E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63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2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664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软籽石榴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C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个装，单果约</w:t>
            </w:r>
            <w:r>
              <w:rPr>
                <w:rStyle w:val="5"/>
                <w:rFonts w:eastAsia="宋体"/>
                <w:lang w:val="en-US" w:eastAsia="zh-CN" w:bidi="ar"/>
              </w:rPr>
              <w:t>500g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5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B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4B4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4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2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冬枣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7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5A/毛重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斤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9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9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0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415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3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秋月梨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个装，毛重</w:t>
            </w:r>
            <w:r>
              <w:rPr>
                <w:rStyle w:val="5"/>
                <w:rFonts w:eastAsia="宋体"/>
                <w:lang w:val="en-US" w:eastAsia="zh-CN" w:bidi="ar"/>
              </w:rPr>
              <w:t>4.6</w:t>
            </w:r>
            <w:r>
              <w:rPr>
                <w:rStyle w:val="4"/>
                <w:lang w:val="en-US" w:eastAsia="zh-CN" w:bidi="ar"/>
              </w:rPr>
              <w:t>斤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1A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629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8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熊猫猪猪产品（发酵火腿芯）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20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袋装</w:t>
            </w:r>
            <w:r>
              <w:rPr>
                <w:rStyle w:val="5"/>
                <w:rFonts w:eastAsia="宋体"/>
                <w:lang w:val="en-US" w:eastAsia="zh-CN" w:bidi="ar"/>
              </w:rPr>
              <w:t>500g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1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1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D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96B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02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  <w:tc>
          <w:tcPr>
            <w:tcW w:w="88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0A8B">
            <w:pPr>
              <w:spacing w:line="600" w:lineRule="exact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小写：</w:t>
            </w:r>
            <w:r>
              <w:rPr>
                <w:rFonts w:hint="eastAsia"/>
                <w:u w:val="single"/>
              </w:rPr>
              <w:t xml:space="preserve">                  </w:t>
            </w:r>
            <w:r>
              <w:rPr>
                <w:rFonts w:hint="eastAsia"/>
              </w:rPr>
              <w:t>元</w:t>
            </w:r>
          </w:p>
          <w:p w14:paraId="116D099B">
            <w:pPr>
              <w:spacing w:line="600" w:lineRule="exact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大写：</w:t>
            </w:r>
            <w:r>
              <w:rPr>
                <w:rFonts w:hint="eastAsia"/>
                <w:u w:val="single"/>
              </w:rPr>
              <w:t xml:space="preserve">                  </w:t>
            </w:r>
          </w:p>
          <w:p w14:paraId="412F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AD86513">
      <w:pPr>
        <w:rPr>
          <w:sz w:val="24"/>
        </w:rPr>
      </w:pPr>
    </w:p>
    <w:p w14:paraId="138FC99F">
      <w:pPr>
        <w:spacing w:line="50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b/>
          <w:bCs/>
          <w:sz w:val="22"/>
          <w:szCs w:val="22"/>
        </w:rPr>
        <w:t>说明：</w:t>
      </w:r>
      <w:r>
        <w:rPr>
          <w:rFonts w:hint="eastAsia" w:ascii="新宋体" w:hAnsi="新宋体" w:eastAsia="新宋体"/>
          <w:b/>
          <w:bCs/>
          <w:sz w:val="24"/>
        </w:rPr>
        <w:t xml:space="preserve"> </w:t>
      </w:r>
      <w:r>
        <w:rPr>
          <w:rFonts w:hint="eastAsia" w:ascii="新宋体" w:hAnsi="新宋体" w:eastAsia="新宋体"/>
          <w:sz w:val="24"/>
        </w:rPr>
        <w:t>1</w:t>
      </w:r>
      <w:r>
        <w:rPr>
          <w:rFonts w:hint="eastAsia" w:ascii="新宋体" w:hAnsi="新宋体" w:eastAsia="新宋体"/>
          <w:sz w:val="24"/>
          <w:lang w:val="en-US" w:eastAsia="zh-CN"/>
        </w:rPr>
        <w:t>.</w:t>
      </w:r>
      <w:r>
        <w:rPr>
          <w:rFonts w:hint="eastAsia" w:ascii="新宋体" w:hAnsi="新宋体" w:eastAsia="新宋体"/>
          <w:sz w:val="24"/>
        </w:rPr>
        <w:t>本采购项目要求投标人提供的货物内容，除有特别规定外，都应包含在本报价范围内。</w:t>
      </w:r>
    </w:p>
    <w:p w14:paraId="5B7A7AB6">
      <w:pPr>
        <w:spacing w:line="380" w:lineRule="exact"/>
        <w:ind w:firstLine="720" w:firstLineChars="3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  <w:lang w:eastAsia="zh-CN"/>
        </w:rPr>
        <w:t>2.</w:t>
      </w:r>
      <w:r>
        <w:rPr>
          <w:rFonts w:hint="eastAsia" w:ascii="新宋体" w:hAnsi="新宋体" w:eastAsia="新宋体"/>
          <w:sz w:val="24"/>
        </w:rPr>
        <w:t>投标报价为投标方所能承受的</w:t>
      </w:r>
      <w:r>
        <w:rPr>
          <w:rFonts w:hint="eastAsia" w:ascii="新宋体" w:hAnsi="新宋体" w:eastAsia="新宋体"/>
          <w:sz w:val="24"/>
          <w:lang w:val="en-US" w:eastAsia="zh-CN"/>
        </w:rPr>
        <w:t>最低</w:t>
      </w:r>
      <w:r>
        <w:rPr>
          <w:rFonts w:hint="eastAsia" w:ascii="新宋体" w:hAnsi="新宋体" w:eastAsia="新宋体"/>
          <w:sz w:val="24"/>
        </w:rPr>
        <w:t>、最终一次性报价。</w:t>
      </w:r>
    </w:p>
    <w:p w14:paraId="5392755F">
      <w:pPr>
        <w:spacing w:line="380" w:lineRule="exact"/>
        <w:ind w:firstLine="720" w:firstLineChars="3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  <w:lang w:eastAsia="zh-CN"/>
        </w:rPr>
        <w:t>3.</w:t>
      </w:r>
      <w:r>
        <w:rPr>
          <w:rFonts w:hint="eastAsia" w:ascii="新宋体" w:hAnsi="新宋体" w:eastAsia="新宋体"/>
          <w:sz w:val="24"/>
        </w:rPr>
        <w:t>总价</w:t>
      </w:r>
      <w:r>
        <w:rPr>
          <w:rFonts w:hint="eastAsia" w:ascii="新宋体" w:hAnsi="新宋体" w:eastAsia="新宋体"/>
          <w:sz w:val="24"/>
          <w:lang w:val="en-US" w:eastAsia="zh-CN"/>
        </w:rPr>
        <w:t>高于</w:t>
      </w:r>
      <w:r>
        <w:rPr>
          <w:rFonts w:hint="eastAsia" w:ascii="新宋体" w:hAnsi="新宋体" w:eastAsia="新宋体"/>
          <w:sz w:val="24"/>
        </w:rPr>
        <w:t>预算价的投标将作无效标处理。</w:t>
      </w:r>
    </w:p>
    <w:p w14:paraId="302D1261">
      <w:pPr>
        <w:spacing w:line="380" w:lineRule="exact"/>
        <w:ind w:firstLine="72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                                </w:t>
      </w:r>
    </w:p>
    <w:p w14:paraId="1DCB8C69">
      <w:pPr>
        <w:spacing w:line="380" w:lineRule="exact"/>
        <w:rPr>
          <w:rFonts w:hint="eastAsia" w:ascii="新宋体" w:hAnsi="新宋体" w:eastAsia="新宋体" w:cs="Times New Roman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                                   </w:t>
      </w:r>
      <w:r>
        <w:rPr>
          <w:rFonts w:hint="eastAsia" w:ascii="新宋体" w:hAnsi="新宋体" w:eastAsia="新宋体" w:cs="Times New Roman"/>
          <w:sz w:val="24"/>
        </w:rPr>
        <w:t xml:space="preserve">  </w:t>
      </w:r>
    </w:p>
    <w:p w14:paraId="0F6D2FB6">
      <w:pPr>
        <w:spacing w:line="380" w:lineRule="exact"/>
        <w:ind w:firstLine="4560" w:firstLineChars="1900"/>
        <w:rPr>
          <w:rFonts w:hint="eastAsia" w:ascii="新宋体" w:hAnsi="新宋体" w:eastAsia="新宋体" w:cs="Times New Roman"/>
          <w:sz w:val="24"/>
        </w:rPr>
      </w:pPr>
      <w:r>
        <w:rPr>
          <w:rFonts w:hint="eastAsia" w:ascii="新宋体" w:hAnsi="新宋体" w:eastAsia="新宋体" w:cs="Times New Roman"/>
          <w:sz w:val="24"/>
        </w:rPr>
        <w:t xml:space="preserve"> 投标人代表（签字）：</w:t>
      </w:r>
    </w:p>
    <w:p w14:paraId="0BA43A84">
      <w:pPr>
        <w:spacing w:line="380" w:lineRule="exact"/>
        <w:ind w:left="3780" w:leftChars="0" w:firstLine="960" w:firstLineChars="400"/>
        <w:rPr>
          <w:rFonts w:hint="eastAsia" w:ascii="新宋体" w:hAnsi="新宋体" w:eastAsia="新宋体" w:cs="Times New Roman"/>
          <w:sz w:val="24"/>
          <w:lang w:val="en-US" w:eastAsia="zh-CN"/>
        </w:rPr>
      </w:pPr>
    </w:p>
    <w:p w14:paraId="4338151C">
      <w:pPr>
        <w:spacing w:line="380" w:lineRule="exact"/>
        <w:ind w:left="3780" w:leftChars="0" w:firstLine="960" w:firstLineChars="400"/>
        <w:rPr>
          <w:rFonts w:hint="default" w:ascii="新宋体" w:hAnsi="新宋体" w:eastAsia="新宋体" w:cs="Times New Roman"/>
          <w:sz w:val="24"/>
          <w:lang w:val="en-US" w:eastAsia="zh-CN"/>
        </w:rPr>
      </w:pPr>
      <w:r>
        <w:rPr>
          <w:rFonts w:hint="eastAsia" w:ascii="新宋体" w:hAnsi="新宋体" w:eastAsia="新宋体" w:cs="Times New Roman"/>
          <w:sz w:val="24"/>
          <w:lang w:val="en-US" w:eastAsia="zh-CN"/>
        </w:rPr>
        <w:t>联系方式：</w:t>
      </w:r>
    </w:p>
    <w:p w14:paraId="32E84F79">
      <w:pPr>
        <w:spacing w:line="380" w:lineRule="exact"/>
        <w:rPr>
          <w:rFonts w:hint="eastAsia" w:ascii="新宋体" w:hAnsi="新宋体" w:eastAsia="新宋体" w:cs="Times New Roman"/>
          <w:sz w:val="24"/>
          <w:lang w:val="en-US" w:eastAsia="zh-CN"/>
        </w:rPr>
      </w:pPr>
      <w:r>
        <w:rPr>
          <w:rFonts w:hint="eastAsia" w:ascii="新宋体" w:hAnsi="新宋体" w:eastAsia="新宋体" w:cs="Times New Roman"/>
          <w:sz w:val="24"/>
        </w:rPr>
        <w:t xml:space="preserve">                                     </w:t>
      </w:r>
      <w:r>
        <w:rPr>
          <w:rFonts w:hint="eastAsia" w:ascii="新宋体" w:hAnsi="新宋体" w:eastAsia="新宋体" w:cs="Times New Roman"/>
          <w:sz w:val="24"/>
          <w:lang w:val="en-US" w:eastAsia="zh-CN"/>
        </w:rPr>
        <w:t xml:space="preserve"> </w:t>
      </w:r>
    </w:p>
    <w:p w14:paraId="6044835C">
      <w:pPr>
        <w:spacing w:line="380" w:lineRule="exact"/>
        <w:ind w:firstLine="4800" w:firstLineChars="2000"/>
        <w:rPr>
          <w:rFonts w:hint="eastAsia"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 w:cs="Times New Roman"/>
          <w:sz w:val="24"/>
          <w:lang w:val="en-US" w:eastAsia="zh-CN"/>
        </w:rPr>
        <w:t xml:space="preserve"> </w:t>
      </w:r>
      <w:r>
        <w:rPr>
          <w:rFonts w:hint="eastAsia" w:ascii="新宋体" w:hAnsi="新宋体" w:eastAsia="新宋体" w:cs="Times New Roman"/>
          <w:sz w:val="24"/>
        </w:rPr>
        <w:t>日 期：</w:t>
      </w:r>
    </w:p>
    <w:p w14:paraId="2450539A"/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_HKSCS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KSOF45024875">
    <w:panose1 w:val="02020500000000000000"/>
    <w:charset w:val="88"/>
    <w:family w:val="auto"/>
    <w:pitch w:val="default"/>
    <w:sig w:usb0="00000001" w:usb1="00000000" w:usb2="00000000" w:usb3="00000000" w:csb0="00100001" w:csb1="00000000"/>
  </w:font>
  <w:font w:name="KSOF9EDDB2B6">
    <w:panose1 w:val="02020500000000000000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37BF3"/>
    <w:rsid w:val="5733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MingLiU_HKSCS" w:hAnsi="MingLiU_HKSCS" w:eastAsia="MingLiU_HKSCS" w:cs="MingLiU_HKSCS"/>
      <w:color w:val="000000"/>
      <w:sz w:val="24"/>
      <w:szCs w:val="24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2026-09-04T08:09:00Z</dcterms:created>
  <dc:creator>Naticao</dc:creator>
  <cp:lastModifiedBy>Naticao</cp:lastModifiedBy>
  <dcterms:modified xsi:type="dcterms:W3CDTF">2026-09-04T08:11:05Z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8F2EA5C2350E4017963134AA2E470220_11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