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186032">
      <w:pPr>
        <w:keepNext w:val="0"/>
        <w:keepLines w:val="0"/>
        <w:pageBreakBefore w:val="0"/>
        <w:widowControl w:val="0"/>
        <w:kinsoku/>
        <w:wordWrap/>
        <w:overflowPunct/>
        <w:topLinePunct w:val="0"/>
        <w:autoSpaceDE/>
        <w:autoSpaceDN/>
        <w:bidi w:val="0"/>
        <w:adjustRightInd/>
        <w:snapToGrid/>
        <w:spacing w:line="360" w:lineRule="auto"/>
        <w:ind w:firstLine="321" w:firstLineChars="100"/>
        <w:jc w:val="center"/>
        <w:textAlignment w:val="auto"/>
        <w:rPr>
          <w:rFonts w:hint="eastAsia" w:ascii="Calibri" w:hAnsi="宋体" w:eastAsia="宋体" w:cs="Times New Roman"/>
          <w:color w:val="auto"/>
          <w:kern w:val="2"/>
          <w:sz w:val="24"/>
          <w:szCs w:val="24"/>
          <w:highlight w:val="none"/>
          <w:lang w:val="en-US" w:eastAsia="zh-CN" w:bidi="ar-SA"/>
        </w:rPr>
      </w:pPr>
      <w:r>
        <w:rPr>
          <w:rFonts w:hint="eastAsia" w:ascii="宋体" w:hAnsi="宋体" w:cs="宋体"/>
          <w:b/>
          <w:bCs/>
          <w:color w:val="auto"/>
          <w:kern w:val="2"/>
          <w:sz w:val="32"/>
          <w:szCs w:val="32"/>
          <w:highlight w:val="none"/>
          <w:shd w:val="clear" w:color="auto" w:fill="FFFFFF"/>
          <w:lang w:val="en-US" w:eastAsia="zh-CN" w:bidi="ar-SA"/>
        </w:rPr>
        <w:t>义乌市中心医院关于年度零星工程代建服务项目的采购公告</w:t>
      </w:r>
    </w:p>
    <w:p w14:paraId="3FC3A150">
      <w:pPr>
        <w:snapToGrid w:val="0"/>
        <w:spacing w:line="440" w:lineRule="exact"/>
        <w:ind w:firstLine="480" w:firstLineChars="200"/>
        <w:rPr>
          <w:rFonts w:ascii="宋体" w:hAnsi="宋体" w:cs="Arial"/>
          <w:color w:val="auto"/>
          <w:sz w:val="24"/>
          <w:szCs w:val="20"/>
          <w:highlight w:val="none"/>
        </w:rPr>
      </w:pPr>
      <w:r>
        <w:rPr>
          <w:rFonts w:hint="eastAsia" w:ascii="宋体" w:hAnsi="宋体" w:cs="Arial"/>
          <w:color w:val="auto"/>
          <w:sz w:val="24"/>
          <w:highlight w:val="none"/>
          <w:lang w:val="en-US" w:eastAsia="zh-CN"/>
        </w:rPr>
        <w:t>一</w:t>
      </w:r>
      <w:r>
        <w:rPr>
          <w:rFonts w:hint="eastAsia" w:ascii="宋体" w:hAnsi="宋体" w:cs="Arial"/>
          <w:color w:val="auto"/>
          <w:sz w:val="24"/>
          <w:highlight w:val="none"/>
        </w:rPr>
        <w:t>、</w:t>
      </w:r>
      <w:r>
        <w:rPr>
          <w:rFonts w:hint="eastAsia" w:ascii="宋体" w:hAnsi="宋体" w:cs="Arial"/>
          <w:b/>
          <w:color w:val="auto"/>
          <w:sz w:val="24"/>
          <w:highlight w:val="none"/>
        </w:rPr>
        <w:t>采购组织类型：</w:t>
      </w:r>
      <w:r>
        <w:rPr>
          <w:rFonts w:hint="eastAsia" w:ascii="宋体" w:hAnsi="宋体" w:cs="Arial"/>
          <w:b/>
          <w:color w:val="auto"/>
          <w:sz w:val="24"/>
          <w:highlight w:val="none"/>
          <w:lang w:val="en-US" w:eastAsia="zh-CN"/>
        </w:rPr>
        <w:t>分散</w:t>
      </w:r>
      <w:r>
        <w:rPr>
          <w:rFonts w:hint="eastAsia" w:ascii="宋体" w:hAnsi="宋体" w:cs="Arial"/>
          <w:color w:val="auto"/>
          <w:sz w:val="24"/>
          <w:highlight w:val="none"/>
        </w:rPr>
        <w:t>采购</w:t>
      </w:r>
    </w:p>
    <w:p w14:paraId="67EF05E4">
      <w:pPr>
        <w:snapToGrid w:val="0"/>
        <w:spacing w:line="440" w:lineRule="exact"/>
        <w:ind w:firstLine="482" w:firstLineChars="200"/>
        <w:rPr>
          <w:rFonts w:hint="default" w:ascii="宋体" w:hAnsi="宋体" w:cs="Arial"/>
          <w:color w:val="auto"/>
          <w:sz w:val="24"/>
          <w:highlight w:val="none"/>
          <w:lang w:val="en-US"/>
        </w:rPr>
      </w:pPr>
      <w:r>
        <w:rPr>
          <w:rFonts w:hint="eastAsia" w:ascii="宋体" w:hAnsi="宋体" w:cs="Arial"/>
          <w:b/>
          <w:color w:val="auto"/>
          <w:sz w:val="24"/>
          <w:highlight w:val="none"/>
          <w:lang w:val="en-US" w:eastAsia="zh-CN"/>
        </w:rPr>
        <w:t>二</w:t>
      </w:r>
      <w:r>
        <w:rPr>
          <w:rFonts w:hint="eastAsia" w:ascii="宋体" w:hAnsi="宋体" w:cs="Arial"/>
          <w:b/>
          <w:color w:val="auto"/>
          <w:sz w:val="24"/>
          <w:highlight w:val="none"/>
        </w:rPr>
        <w:t>、采购方式：</w:t>
      </w:r>
      <w:r>
        <w:rPr>
          <w:rFonts w:hint="eastAsia" w:ascii="宋体" w:hAnsi="宋体" w:cs="Arial"/>
          <w:b/>
          <w:color w:val="auto"/>
          <w:sz w:val="24"/>
          <w:highlight w:val="none"/>
          <w:lang w:val="en-US" w:eastAsia="zh-CN"/>
        </w:rPr>
        <w:t>综合评分法</w:t>
      </w:r>
    </w:p>
    <w:p w14:paraId="69BE0DE3">
      <w:pPr>
        <w:snapToGrid w:val="0"/>
        <w:spacing w:line="440" w:lineRule="exact"/>
        <w:ind w:firstLine="472" w:firstLineChars="196"/>
        <w:rPr>
          <w:rFonts w:hint="eastAsia" w:ascii="宋体" w:hAnsi="宋体" w:eastAsia="宋体" w:cs="Arial"/>
          <w:b/>
          <w:bCs/>
          <w:color w:val="auto"/>
          <w:sz w:val="24"/>
          <w:highlight w:val="none"/>
          <w:lang w:eastAsia="zh-CN"/>
        </w:rPr>
      </w:pPr>
      <w:r>
        <w:rPr>
          <w:rFonts w:hint="eastAsia" w:ascii="宋体" w:hAnsi="宋体" w:cs="Arial"/>
          <w:b/>
          <w:color w:val="auto"/>
          <w:sz w:val="24"/>
          <w:highlight w:val="none"/>
          <w:lang w:val="en-US" w:eastAsia="zh-CN"/>
        </w:rPr>
        <w:t>三</w:t>
      </w:r>
      <w:r>
        <w:rPr>
          <w:rFonts w:hint="eastAsia" w:ascii="宋体" w:hAnsi="宋体" w:cs="Arial"/>
          <w:b/>
          <w:color w:val="auto"/>
          <w:sz w:val="24"/>
          <w:highlight w:val="none"/>
        </w:rPr>
        <w:t>、</w:t>
      </w:r>
      <w:r>
        <w:rPr>
          <w:rFonts w:hint="eastAsia" w:ascii="宋体" w:hAnsi="宋体" w:cs="Arial"/>
          <w:b/>
          <w:bCs/>
          <w:color w:val="auto"/>
          <w:sz w:val="24"/>
          <w:highlight w:val="none"/>
        </w:rPr>
        <w:t>采购需求一览表</w:t>
      </w:r>
      <w:r>
        <w:rPr>
          <w:rFonts w:hint="eastAsia" w:ascii="宋体" w:hAnsi="宋体" w:cs="Arial"/>
          <w:b/>
          <w:bCs/>
          <w:color w:val="auto"/>
          <w:sz w:val="24"/>
          <w:highlight w:val="none"/>
          <w:lang w:eastAsia="zh-CN"/>
        </w:rPr>
        <w:t>：</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4"/>
        <w:gridCol w:w="2555"/>
        <w:gridCol w:w="1250"/>
        <w:gridCol w:w="2000"/>
        <w:gridCol w:w="2091"/>
      </w:tblGrid>
      <w:tr w14:paraId="22763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0" w:hRule="atLeast"/>
          <w:jc w:val="center"/>
        </w:trPr>
        <w:tc>
          <w:tcPr>
            <w:tcW w:w="624" w:type="dxa"/>
            <w:noWrap w:val="0"/>
            <w:vAlign w:val="center"/>
          </w:tcPr>
          <w:p w14:paraId="290BC00D">
            <w:pPr>
              <w:snapToGrid w:val="0"/>
              <w:spacing w:line="440" w:lineRule="exact"/>
              <w:jc w:val="center"/>
              <w:rPr>
                <w:rFonts w:ascii="宋体" w:hAnsi="宋体" w:cs="Arial"/>
                <w:b/>
                <w:bCs/>
                <w:color w:val="auto"/>
                <w:sz w:val="24"/>
                <w:highlight w:val="none"/>
              </w:rPr>
            </w:pPr>
            <w:r>
              <w:rPr>
                <w:rFonts w:hint="eastAsia" w:ascii="宋体" w:hAnsi="宋体" w:cs="Arial"/>
                <w:b/>
                <w:bCs/>
                <w:color w:val="auto"/>
                <w:sz w:val="24"/>
                <w:highlight w:val="none"/>
              </w:rPr>
              <w:t>序号</w:t>
            </w:r>
          </w:p>
        </w:tc>
        <w:tc>
          <w:tcPr>
            <w:tcW w:w="2555" w:type="dxa"/>
            <w:noWrap w:val="0"/>
            <w:vAlign w:val="center"/>
          </w:tcPr>
          <w:p w14:paraId="2FB520BD">
            <w:pPr>
              <w:snapToGrid w:val="0"/>
              <w:spacing w:line="440" w:lineRule="exact"/>
              <w:jc w:val="center"/>
              <w:rPr>
                <w:rFonts w:ascii="宋体" w:hAnsi="宋体" w:cs="Arial"/>
                <w:b/>
                <w:bCs/>
                <w:color w:val="auto"/>
                <w:sz w:val="24"/>
                <w:highlight w:val="none"/>
              </w:rPr>
            </w:pPr>
            <w:r>
              <w:rPr>
                <w:rFonts w:hint="eastAsia" w:ascii="宋体" w:hAnsi="宋体" w:cs="Arial"/>
                <w:b/>
                <w:bCs/>
                <w:color w:val="auto"/>
                <w:sz w:val="24"/>
                <w:highlight w:val="none"/>
              </w:rPr>
              <w:t>采购内容</w:t>
            </w:r>
          </w:p>
        </w:tc>
        <w:tc>
          <w:tcPr>
            <w:tcW w:w="1250" w:type="dxa"/>
            <w:noWrap w:val="0"/>
            <w:vAlign w:val="center"/>
          </w:tcPr>
          <w:p w14:paraId="69DE22A9">
            <w:pPr>
              <w:snapToGrid w:val="0"/>
              <w:spacing w:line="440" w:lineRule="exact"/>
              <w:jc w:val="both"/>
              <w:rPr>
                <w:rFonts w:ascii="宋体" w:hAnsi="宋体" w:cs="Arial"/>
                <w:b/>
                <w:bCs/>
                <w:color w:val="auto"/>
                <w:sz w:val="24"/>
                <w:highlight w:val="none"/>
              </w:rPr>
            </w:pPr>
            <w:r>
              <w:rPr>
                <w:rFonts w:hint="eastAsia" w:ascii="宋体" w:hAnsi="宋体" w:cs="Arial"/>
                <w:b/>
                <w:bCs/>
                <w:color w:val="auto"/>
                <w:sz w:val="24"/>
                <w:highlight w:val="none"/>
                <w:lang w:val="en-US" w:eastAsia="zh-CN"/>
              </w:rPr>
              <w:t>服务期限</w:t>
            </w:r>
          </w:p>
        </w:tc>
        <w:tc>
          <w:tcPr>
            <w:tcW w:w="2000" w:type="dxa"/>
            <w:noWrap w:val="0"/>
            <w:vAlign w:val="center"/>
          </w:tcPr>
          <w:p w14:paraId="317CAEB6">
            <w:pPr>
              <w:snapToGrid w:val="0"/>
              <w:spacing w:line="440" w:lineRule="exact"/>
              <w:jc w:val="center"/>
              <w:rPr>
                <w:rFonts w:hint="eastAsia" w:ascii="宋体" w:hAnsi="宋体" w:eastAsia="宋体" w:cs="Arial"/>
                <w:b/>
                <w:bCs/>
                <w:color w:val="auto"/>
                <w:kern w:val="2"/>
                <w:sz w:val="24"/>
                <w:szCs w:val="24"/>
                <w:highlight w:val="none"/>
                <w:lang w:val="en-US" w:eastAsia="zh-CN" w:bidi="ar-SA"/>
              </w:rPr>
            </w:pPr>
            <w:r>
              <w:rPr>
                <w:rFonts w:hint="eastAsia" w:ascii="宋体" w:hAnsi="宋体" w:cs="Arial"/>
                <w:b/>
                <w:bCs/>
                <w:color w:val="auto"/>
                <w:sz w:val="24"/>
                <w:highlight w:val="none"/>
                <w:lang w:val="en-US" w:eastAsia="zh-CN"/>
              </w:rPr>
              <w:t>预算</w:t>
            </w:r>
          </w:p>
        </w:tc>
        <w:tc>
          <w:tcPr>
            <w:tcW w:w="2091" w:type="dxa"/>
            <w:noWrap w:val="0"/>
            <w:vAlign w:val="center"/>
          </w:tcPr>
          <w:p w14:paraId="57C9B761">
            <w:pPr>
              <w:snapToGrid w:val="0"/>
              <w:spacing w:line="440" w:lineRule="exact"/>
              <w:jc w:val="center"/>
              <w:rPr>
                <w:rFonts w:hint="default" w:ascii="宋体" w:hAnsi="宋体" w:cs="Arial"/>
                <w:b/>
                <w:bCs/>
                <w:color w:val="auto"/>
                <w:sz w:val="24"/>
                <w:highlight w:val="none"/>
                <w:lang w:val="en-US" w:eastAsia="zh-CN"/>
              </w:rPr>
            </w:pPr>
            <w:r>
              <w:rPr>
                <w:rFonts w:hint="eastAsia" w:ascii="宋体" w:hAnsi="宋体" w:cs="Arial"/>
                <w:b/>
                <w:bCs/>
                <w:color w:val="auto"/>
                <w:sz w:val="24"/>
                <w:highlight w:val="none"/>
                <w:lang w:val="en-US" w:eastAsia="zh-CN"/>
              </w:rPr>
              <w:t>备注</w:t>
            </w:r>
          </w:p>
        </w:tc>
      </w:tr>
      <w:tr w14:paraId="6603F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624" w:type="dxa"/>
            <w:noWrap w:val="0"/>
            <w:vAlign w:val="center"/>
          </w:tcPr>
          <w:p w14:paraId="11B7C8DA">
            <w:pPr>
              <w:snapToGrid w:val="0"/>
              <w:spacing w:line="440" w:lineRule="exact"/>
              <w:jc w:val="center"/>
              <w:rPr>
                <w:rFonts w:ascii="宋体" w:hAnsi="宋体" w:cs="Arial"/>
                <w:bCs/>
                <w:color w:val="auto"/>
                <w:sz w:val="24"/>
                <w:highlight w:val="none"/>
              </w:rPr>
            </w:pPr>
            <w:r>
              <w:rPr>
                <w:rFonts w:hint="eastAsia" w:ascii="宋体" w:hAnsi="宋体" w:cs="Arial"/>
                <w:bCs/>
                <w:color w:val="auto"/>
                <w:sz w:val="24"/>
                <w:highlight w:val="none"/>
              </w:rPr>
              <w:t>1</w:t>
            </w:r>
          </w:p>
        </w:tc>
        <w:tc>
          <w:tcPr>
            <w:tcW w:w="2555" w:type="dxa"/>
            <w:noWrap w:val="0"/>
            <w:vAlign w:val="center"/>
          </w:tcPr>
          <w:p w14:paraId="6662B62C">
            <w:pPr>
              <w:snapToGrid w:val="0"/>
              <w:spacing w:line="440" w:lineRule="exact"/>
              <w:jc w:val="center"/>
              <w:rPr>
                <w:rFonts w:hint="default" w:ascii="宋体" w:hAnsi="宋体" w:cs="Arial"/>
                <w:bCs/>
                <w:color w:val="auto"/>
                <w:sz w:val="24"/>
                <w:highlight w:val="none"/>
                <w:lang w:val="en-US"/>
              </w:rPr>
            </w:pPr>
            <w:r>
              <w:rPr>
                <w:spacing w:val="-1"/>
                <w:sz w:val="28"/>
                <w:szCs w:val="28"/>
              </w:rPr>
              <w:t>年度零星工程代建服务</w:t>
            </w:r>
            <w:r>
              <w:rPr>
                <w:rFonts w:hint="eastAsia" w:ascii="宋体" w:hAnsi="宋体" w:cs="宋体"/>
                <w:color w:val="auto"/>
                <w:kern w:val="2"/>
                <w:sz w:val="28"/>
                <w:szCs w:val="28"/>
                <w:highlight w:val="none"/>
                <w:shd w:val="clear" w:color="auto" w:fill="FFFFFF"/>
                <w:lang w:val="en-US" w:eastAsia="zh-CN" w:bidi="ar-SA"/>
              </w:rPr>
              <w:t>项目</w:t>
            </w:r>
          </w:p>
        </w:tc>
        <w:tc>
          <w:tcPr>
            <w:tcW w:w="1250" w:type="dxa"/>
            <w:noWrap w:val="0"/>
            <w:vAlign w:val="center"/>
          </w:tcPr>
          <w:p w14:paraId="48E8244E">
            <w:pPr>
              <w:snapToGrid w:val="0"/>
              <w:spacing w:line="440" w:lineRule="exact"/>
              <w:jc w:val="center"/>
              <w:rPr>
                <w:rFonts w:hint="default" w:ascii="宋体" w:hAnsi="宋体" w:eastAsia="宋体" w:cs="Arial"/>
                <w:bCs/>
                <w:color w:val="auto"/>
                <w:sz w:val="24"/>
                <w:highlight w:val="none"/>
                <w:lang w:val="en-US" w:eastAsia="zh-CN"/>
              </w:rPr>
            </w:pPr>
            <w:r>
              <w:rPr>
                <w:rFonts w:hint="eastAsia" w:ascii="宋体" w:hAnsi="宋体" w:cs="Arial"/>
                <w:bCs/>
                <w:color w:val="auto"/>
                <w:sz w:val="24"/>
                <w:highlight w:val="none"/>
                <w:lang w:val="en-US" w:eastAsia="zh-CN"/>
              </w:rPr>
              <w:t>2年</w:t>
            </w:r>
          </w:p>
        </w:tc>
        <w:tc>
          <w:tcPr>
            <w:tcW w:w="2000" w:type="dxa"/>
            <w:noWrap w:val="0"/>
            <w:vAlign w:val="center"/>
          </w:tcPr>
          <w:p w14:paraId="33A5611F">
            <w:pPr>
              <w:snapToGrid w:val="0"/>
              <w:spacing w:line="440" w:lineRule="exact"/>
              <w:jc w:val="center"/>
              <w:rPr>
                <w:rFonts w:hint="default" w:ascii="宋体" w:hAnsi="宋体" w:eastAsia="宋体" w:cs="Arial"/>
                <w:bCs/>
                <w:color w:val="auto"/>
                <w:kern w:val="2"/>
                <w:sz w:val="24"/>
                <w:szCs w:val="24"/>
                <w:highlight w:val="none"/>
                <w:lang w:val="en-US" w:eastAsia="zh-CN" w:bidi="ar-SA"/>
              </w:rPr>
            </w:pPr>
            <w:r>
              <w:rPr>
                <w:rFonts w:hint="eastAsia" w:ascii="宋体" w:hAnsi="宋体" w:cs="宋体"/>
                <w:color w:val="auto"/>
                <w:kern w:val="2"/>
                <w:sz w:val="24"/>
                <w:szCs w:val="24"/>
                <w:highlight w:val="none"/>
                <w:shd w:val="clear" w:color="auto" w:fill="FFFFFF"/>
                <w:lang w:val="en-US" w:eastAsia="zh-CN" w:bidi="ar-SA"/>
              </w:rPr>
              <w:t>400万元</w:t>
            </w:r>
          </w:p>
        </w:tc>
        <w:tc>
          <w:tcPr>
            <w:tcW w:w="2091" w:type="dxa"/>
            <w:noWrap w:val="0"/>
            <w:vAlign w:val="center"/>
          </w:tcPr>
          <w:p w14:paraId="4A572DAE">
            <w:pPr>
              <w:snapToGrid w:val="0"/>
              <w:spacing w:line="440" w:lineRule="exact"/>
              <w:jc w:val="center"/>
              <w:rPr>
                <w:rFonts w:hint="default" w:ascii="宋体" w:hAnsi="宋体" w:cs="宋体"/>
                <w:color w:val="auto"/>
                <w:kern w:val="2"/>
                <w:sz w:val="24"/>
                <w:szCs w:val="24"/>
                <w:highlight w:val="none"/>
                <w:shd w:val="clear" w:color="auto" w:fill="FFFFFF"/>
                <w:lang w:val="en-US" w:eastAsia="zh-CN" w:bidi="ar-SA"/>
              </w:rPr>
            </w:pPr>
            <w:r>
              <w:rPr>
                <w:rFonts w:hint="eastAsia"/>
                <w:spacing w:val="-1"/>
                <w:sz w:val="28"/>
                <w:szCs w:val="28"/>
                <w:lang w:val="en-US" w:eastAsia="zh-CN"/>
              </w:rPr>
              <w:t>预算是指</w:t>
            </w:r>
            <w:r>
              <w:rPr>
                <w:spacing w:val="-1"/>
                <w:sz w:val="28"/>
                <w:szCs w:val="28"/>
              </w:rPr>
              <w:t>累计委托管理的零星工程总量</w:t>
            </w:r>
          </w:p>
        </w:tc>
      </w:tr>
    </w:tbl>
    <w:p w14:paraId="52EFA24D">
      <w:pPr>
        <w:snapToGrid w:val="0"/>
        <w:spacing w:line="440" w:lineRule="exact"/>
        <w:rPr>
          <w:rFonts w:hint="default" w:ascii="宋体" w:hAnsi="宋体" w:cs="Arial"/>
          <w:b/>
          <w:color w:val="auto"/>
          <w:sz w:val="24"/>
          <w:highlight w:val="none"/>
          <w:lang w:val="en-US" w:eastAsia="zh-CN"/>
        </w:rPr>
      </w:pPr>
    </w:p>
    <w:p w14:paraId="1A5340E8">
      <w:pPr>
        <w:snapToGrid w:val="0"/>
        <w:spacing w:line="440" w:lineRule="exact"/>
        <w:ind w:firstLine="482" w:firstLineChars="200"/>
        <w:rPr>
          <w:rFonts w:ascii="宋体" w:hAnsi="宋体" w:cs="Arial"/>
          <w:b/>
          <w:bCs/>
          <w:color w:val="auto"/>
          <w:sz w:val="24"/>
          <w:szCs w:val="20"/>
          <w:highlight w:val="none"/>
        </w:rPr>
      </w:pPr>
      <w:r>
        <w:rPr>
          <w:rFonts w:hint="eastAsia" w:ascii="宋体" w:hAnsi="宋体" w:cs="Arial"/>
          <w:b/>
          <w:color w:val="auto"/>
          <w:sz w:val="24"/>
          <w:highlight w:val="none"/>
          <w:lang w:val="en-US" w:eastAsia="zh-CN"/>
        </w:rPr>
        <w:t>四</w:t>
      </w:r>
      <w:r>
        <w:rPr>
          <w:rFonts w:hint="eastAsia" w:ascii="宋体" w:hAnsi="宋体" w:cs="Arial"/>
          <w:color w:val="auto"/>
          <w:sz w:val="24"/>
          <w:highlight w:val="none"/>
        </w:rPr>
        <w:t>、</w:t>
      </w:r>
      <w:r>
        <w:rPr>
          <w:rFonts w:hint="eastAsia" w:ascii="宋体" w:hAnsi="宋体" w:cs="Arial"/>
          <w:b/>
          <w:bCs/>
          <w:color w:val="auto"/>
          <w:sz w:val="24"/>
          <w:highlight w:val="none"/>
        </w:rPr>
        <w:t>合格投标人的资格要求：</w:t>
      </w:r>
    </w:p>
    <w:p w14:paraId="3B8C90A4">
      <w:pPr>
        <w:spacing w:line="360" w:lineRule="auto"/>
        <w:ind w:firstLine="480" w:firstLineChars="200"/>
        <w:rPr>
          <w:rFonts w:hAnsi="宋体"/>
          <w:color w:val="auto"/>
          <w:sz w:val="24"/>
          <w:highlight w:val="none"/>
        </w:rPr>
      </w:pPr>
      <w:r>
        <w:rPr>
          <w:rFonts w:hint="eastAsia" w:hAnsi="宋体"/>
          <w:color w:val="auto"/>
          <w:sz w:val="24"/>
          <w:highlight w:val="none"/>
          <w:lang w:val="en-US" w:eastAsia="zh-CN"/>
        </w:rPr>
        <w:t>1.</w:t>
      </w:r>
      <w:r>
        <w:rPr>
          <w:rFonts w:hint="eastAsia" w:ascii="宋体" w:hAnsi="宋体" w:eastAsia="宋体" w:cs="Times New Roman"/>
          <w:bCs/>
          <w:color w:val="auto"/>
          <w:sz w:val="24"/>
          <w:highlight w:val="none"/>
          <w14:ligatures w14:val="none"/>
        </w:rPr>
        <w:t>满足《中华人民共和国政府采购法》第二十二条要求</w:t>
      </w:r>
      <w:r>
        <w:rPr>
          <w:rFonts w:hAnsi="宋体"/>
          <w:color w:val="auto"/>
          <w:sz w:val="24"/>
          <w:highlight w:val="none"/>
        </w:rPr>
        <w:t>。</w:t>
      </w:r>
    </w:p>
    <w:p w14:paraId="6F38C6AC">
      <w:pPr>
        <w:spacing w:line="360" w:lineRule="auto"/>
        <w:ind w:firstLine="480" w:firstLineChars="200"/>
        <w:rPr>
          <w:rFonts w:hint="eastAsia"/>
          <w:color w:val="auto"/>
          <w:sz w:val="24"/>
          <w:highlight w:val="none"/>
        </w:rPr>
      </w:pPr>
      <w:r>
        <w:rPr>
          <w:rFonts w:hint="eastAsia"/>
          <w:color w:val="auto"/>
          <w:sz w:val="24"/>
          <w:highlight w:val="none"/>
          <w:lang w:val="en-US" w:eastAsia="zh-CN"/>
        </w:rPr>
        <w:t>2.</w:t>
      </w:r>
      <w:r>
        <w:rPr>
          <w:rFonts w:hint="eastAsia"/>
          <w:color w:val="auto"/>
          <w:sz w:val="24"/>
          <w:highlight w:val="none"/>
        </w:rPr>
        <w:t>参加政府采购活动前三年内，在经营活动中没有重大违法记录。</w:t>
      </w:r>
    </w:p>
    <w:p w14:paraId="5D2FEB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color w:val="auto"/>
          <w:sz w:val="24"/>
          <w:highlight w:val="none"/>
          <w:lang w:eastAsia="zh-CN"/>
        </w:rPr>
      </w:pPr>
      <w:r>
        <w:rPr>
          <w:rFonts w:hint="eastAsia"/>
          <w:color w:val="auto"/>
          <w:sz w:val="24"/>
          <w:highlight w:val="none"/>
          <w:lang w:val="en-US" w:eastAsia="zh-CN"/>
        </w:rPr>
        <w:t>3.</w:t>
      </w:r>
      <w:r>
        <w:rPr>
          <w:rFonts w:hint="eastAsia" w:hAnsi="宋体"/>
          <w:color w:val="auto"/>
          <w:sz w:val="24"/>
          <w:highlight w:val="none"/>
        </w:rPr>
        <w:t>本次招标项目不接受联合体投标，不允许转包和分包</w:t>
      </w:r>
      <w:r>
        <w:rPr>
          <w:rFonts w:hint="eastAsia" w:hAnsi="宋体"/>
          <w:color w:val="auto"/>
          <w:sz w:val="24"/>
          <w:highlight w:val="none"/>
          <w:lang w:eastAsia="zh-CN"/>
        </w:rPr>
        <w:t>。</w:t>
      </w:r>
    </w:p>
    <w:p w14:paraId="3301B63D">
      <w:pPr>
        <w:pStyle w:val="11"/>
        <w:keepNext w:val="0"/>
        <w:keepLines w:val="0"/>
        <w:widowControl/>
        <w:suppressLineNumbers w:val="0"/>
        <w:spacing w:line="312" w:lineRule="auto"/>
        <w:ind w:left="479" w:leftChars="228" w:firstLine="65" w:firstLineChars="27"/>
        <w:jc w:val="left"/>
        <w:rPr>
          <w:rStyle w:val="16"/>
          <w:rFonts w:hint="eastAsia" w:ascii="宋体" w:hAnsi="宋体" w:eastAsia="宋体" w:cs="宋体"/>
          <w:color w:val="auto"/>
          <w:sz w:val="24"/>
          <w:szCs w:val="24"/>
          <w:highlight w:val="none"/>
        </w:rPr>
      </w:pPr>
      <w:r>
        <w:rPr>
          <w:rStyle w:val="16"/>
          <w:rFonts w:hint="eastAsia" w:ascii="宋体" w:hAnsi="宋体" w:cs="宋体"/>
          <w:color w:val="auto"/>
          <w:sz w:val="24"/>
          <w:szCs w:val="24"/>
          <w:highlight w:val="none"/>
          <w:lang w:val="en-US" w:eastAsia="zh-CN"/>
        </w:rPr>
        <w:t>五</w:t>
      </w:r>
      <w:r>
        <w:rPr>
          <w:rStyle w:val="16"/>
          <w:rFonts w:hint="eastAsia" w:ascii="宋体" w:hAnsi="宋体" w:eastAsia="宋体" w:cs="宋体"/>
          <w:color w:val="auto"/>
          <w:sz w:val="24"/>
          <w:szCs w:val="24"/>
          <w:highlight w:val="none"/>
        </w:rPr>
        <w:t>、采购文件的获取：</w:t>
      </w:r>
    </w:p>
    <w:p w14:paraId="3139AF0B">
      <w:pPr>
        <w:pStyle w:val="11"/>
        <w:keepNext w:val="0"/>
        <w:keepLines w:val="0"/>
        <w:widowControl/>
        <w:suppressLineNumbers w:val="0"/>
        <w:spacing w:line="312" w:lineRule="auto"/>
        <w:ind w:firstLine="480" w:firstLineChars="200"/>
        <w:jc w:val="left"/>
        <w:rPr>
          <w:color w:val="auto"/>
          <w:highlight w:val="none"/>
        </w:rPr>
      </w:pPr>
      <w:r>
        <w:rPr>
          <w:rFonts w:hint="eastAsia" w:ascii="宋体" w:hAnsi="宋体" w:cs="宋体"/>
          <w:color w:val="auto"/>
          <w:sz w:val="24"/>
          <w:szCs w:val="24"/>
          <w:highlight w:val="none"/>
          <w:lang w:val="en-US" w:eastAsia="zh-CN"/>
        </w:rPr>
        <w:t>采购</w:t>
      </w:r>
      <w:r>
        <w:rPr>
          <w:rFonts w:hint="eastAsia" w:ascii="宋体" w:hAnsi="宋体" w:eastAsia="宋体" w:cs="宋体"/>
          <w:color w:val="auto"/>
          <w:sz w:val="24"/>
          <w:szCs w:val="24"/>
          <w:highlight w:val="none"/>
        </w:rPr>
        <w:t>人不再向投标人提供纸质招标文件，请投标人自行在</w:t>
      </w:r>
      <w:r>
        <w:rPr>
          <w:rFonts w:hint="eastAsia" w:ascii="新宋体" w:hAnsi="新宋体" w:eastAsia="新宋体" w:cs="Courier New"/>
          <w:color w:val="auto"/>
          <w:kern w:val="2"/>
          <w:sz w:val="24"/>
          <w:szCs w:val="21"/>
          <w:highlight w:val="none"/>
          <w:lang w:val="en-US" w:eastAsia="zh-CN" w:bidi="ar-SA"/>
        </w:rPr>
        <w:t>义乌市中心医院官网(http://www.ywzxyy.com/)</w:t>
      </w:r>
      <w:r>
        <w:rPr>
          <w:rFonts w:hint="eastAsia" w:ascii="宋体" w:hAnsi="宋体" w:eastAsia="宋体" w:cs="宋体"/>
          <w:color w:val="auto"/>
          <w:sz w:val="24"/>
          <w:szCs w:val="24"/>
          <w:highlight w:val="none"/>
        </w:rPr>
        <w:t>下载</w:t>
      </w:r>
      <w:r>
        <w:rPr>
          <w:rFonts w:hint="eastAsia" w:ascii="宋体" w:hAnsi="宋体" w:cs="宋体"/>
          <w:color w:val="auto"/>
          <w:sz w:val="24"/>
          <w:szCs w:val="24"/>
          <w:highlight w:val="none"/>
          <w:lang w:val="en-US" w:eastAsia="zh-CN"/>
        </w:rPr>
        <w:t>获取</w:t>
      </w:r>
      <w:r>
        <w:rPr>
          <w:rFonts w:hint="eastAsia" w:ascii="宋体" w:hAnsi="宋体" w:eastAsia="宋体" w:cs="宋体"/>
          <w:color w:val="auto"/>
          <w:sz w:val="24"/>
          <w:szCs w:val="24"/>
          <w:highlight w:val="none"/>
        </w:rPr>
        <w:t>。</w:t>
      </w:r>
    </w:p>
    <w:p w14:paraId="341ABE3E">
      <w:pPr>
        <w:pStyle w:val="11"/>
        <w:keepNext w:val="0"/>
        <w:keepLines w:val="0"/>
        <w:widowControl/>
        <w:suppressLineNumbers w:val="0"/>
        <w:spacing w:line="312" w:lineRule="auto"/>
        <w:ind w:left="0" w:firstLine="480"/>
        <w:rPr>
          <w:color w:val="auto"/>
          <w:highlight w:val="none"/>
        </w:rPr>
      </w:pPr>
      <w:r>
        <w:rPr>
          <w:rStyle w:val="16"/>
          <w:rFonts w:hint="eastAsia" w:ascii="宋体" w:hAnsi="宋体" w:cs="宋体"/>
          <w:color w:val="auto"/>
          <w:sz w:val="24"/>
          <w:szCs w:val="24"/>
          <w:highlight w:val="none"/>
          <w:lang w:val="en-US" w:eastAsia="zh-CN"/>
        </w:rPr>
        <w:t>六</w:t>
      </w:r>
      <w:r>
        <w:rPr>
          <w:rStyle w:val="16"/>
          <w:rFonts w:hint="eastAsia" w:ascii="宋体" w:hAnsi="宋体" w:eastAsia="宋体" w:cs="宋体"/>
          <w:color w:val="auto"/>
          <w:sz w:val="24"/>
          <w:szCs w:val="24"/>
          <w:highlight w:val="none"/>
        </w:rPr>
        <w:t>、投标截止时间和地点</w:t>
      </w:r>
      <w:r>
        <w:rPr>
          <w:rFonts w:hint="eastAsia" w:ascii="宋体" w:hAnsi="宋体" w:eastAsia="宋体" w:cs="宋体"/>
          <w:color w:val="auto"/>
          <w:sz w:val="24"/>
          <w:szCs w:val="24"/>
          <w:highlight w:val="none"/>
        </w:rPr>
        <w:t>：</w:t>
      </w:r>
    </w:p>
    <w:p w14:paraId="730706F1">
      <w:pPr>
        <w:pStyle w:val="11"/>
        <w:keepNext w:val="0"/>
        <w:keepLines w:val="0"/>
        <w:widowControl/>
        <w:suppressLineNumbers w:val="0"/>
        <w:spacing w:line="312" w:lineRule="auto"/>
        <w:ind w:left="0"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本次招标采用不见面招标，请各供应商按技术标和商务标分开装订密封</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技术标和商务标</w:t>
      </w:r>
      <w:r>
        <w:rPr>
          <w:rStyle w:val="19"/>
          <w:rFonts w:ascii="Times New Roman" w:hAnsi="Times New Roman" w:eastAsia="宋体"/>
          <w:b w:val="0"/>
          <w:i w:val="0"/>
          <w:caps w:val="0"/>
          <w:color w:val="auto"/>
          <w:spacing w:val="0"/>
          <w:w w:val="100"/>
          <w:kern w:val="2"/>
          <w:sz w:val="24"/>
          <w:szCs w:val="24"/>
          <w:highlight w:val="none"/>
          <w:lang w:val="en-US" w:eastAsia="zh-CN" w:bidi="ar-SA"/>
        </w:rPr>
        <w:t>正本一份副本</w:t>
      </w:r>
      <w:r>
        <w:rPr>
          <w:rStyle w:val="19"/>
          <w:rFonts w:hint="eastAsia" w:ascii="Times New Roman" w:hAnsi="Times New Roman"/>
          <w:b w:val="0"/>
          <w:i w:val="0"/>
          <w:caps w:val="0"/>
          <w:color w:val="auto"/>
          <w:spacing w:val="0"/>
          <w:w w:val="100"/>
          <w:kern w:val="2"/>
          <w:sz w:val="24"/>
          <w:szCs w:val="24"/>
          <w:highlight w:val="none"/>
          <w:lang w:val="en-US" w:eastAsia="zh-CN" w:bidi="ar-SA"/>
        </w:rPr>
        <w:t>二</w:t>
      </w:r>
      <w:r>
        <w:rPr>
          <w:rStyle w:val="19"/>
          <w:rFonts w:ascii="Times New Roman" w:hAnsi="Times New Roman" w:eastAsia="宋体"/>
          <w:b w:val="0"/>
          <w:i w:val="0"/>
          <w:caps w:val="0"/>
          <w:color w:val="auto"/>
          <w:spacing w:val="0"/>
          <w:w w:val="100"/>
          <w:kern w:val="2"/>
          <w:sz w:val="24"/>
          <w:szCs w:val="24"/>
          <w:highlight w:val="none"/>
          <w:lang w:val="en-US" w:eastAsia="zh-CN" w:bidi="ar-SA"/>
        </w:rPr>
        <w:t>份</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，密封袋封面处注明投标公司、技术标、商务标、联系人、联系方式，并在封标处盖章。请将标书在202</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24</w:t>
      </w:r>
      <w:r>
        <w:rPr>
          <w:rFonts w:hint="eastAsia" w:ascii="宋体" w:hAnsi="宋体" w:eastAsia="宋体" w:cs="宋体"/>
          <w:color w:val="auto"/>
          <w:sz w:val="24"/>
          <w:szCs w:val="24"/>
          <w:highlight w:val="none"/>
        </w:rPr>
        <w:t>日17时前寄送至义乌市中心医院行政楼一楼109室采购招标中心（江东中路699号）。</w:t>
      </w:r>
      <w:r>
        <w:rPr>
          <w:rFonts w:hint="eastAsia" w:ascii="宋体" w:hAnsi="宋体" w:cs="宋体"/>
          <w:color w:val="auto"/>
          <w:sz w:val="24"/>
          <w:szCs w:val="24"/>
          <w:highlight w:val="none"/>
          <w:lang w:val="en-US" w:eastAsia="zh-CN"/>
        </w:rPr>
        <w:t>收件</w:t>
      </w:r>
      <w:r>
        <w:rPr>
          <w:rFonts w:hint="eastAsia" w:ascii="宋体" w:hAnsi="宋体" w:eastAsia="宋体" w:cs="宋体"/>
          <w:color w:val="auto"/>
          <w:sz w:val="24"/>
          <w:szCs w:val="24"/>
          <w:highlight w:val="none"/>
        </w:rPr>
        <w:t>人：</w:t>
      </w:r>
      <w:r>
        <w:rPr>
          <w:rFonts w:hint="eastAsia" w:ascii="宋体" w:hAnsi="宋体" w:cs="宋体"/>
          <w:color w:val="auto"/>
          <w:sz w:val="24"/>
          <w:szCs w:val="24"/>
          <w:highlight w:val="none"/>
          <w:lang w:val="en-US" w:eastAsia="zh-CN"/>
        </w:rPr>
        <w:t>金</w:t>
      </w:r>
      <w:r>
        <w:rPr>
          <w:rFonts w:hint="eastAsia" w:ascii="宋体" w:hAnsi="宋体" w:eastAsia="宋体" w:cs="宋体"/>
          <w:color w:val="auto"/>
          <w:sz w:val="24"/>
          <w:szCs w:val="24"/>
          <w:highlight w:val="none"/>
        </w:rPr>
        <w:t>老师，联系电话：0579-85208030 。</w:t>
      </w:r>
      <w:bookmarkStart w:id="1" w:name="_GoBack"/>
      <w:bookmarkEnd w:id="1"/>
    </w:p>
    <w:p w14:paraId="4A506F5D">
      <w:pPr>
        <w:pStyle w:val="11"/>
        <w:keepNext w:val="0"/>
        <w:keepLines w:val="0"/>
        <w:widowControl/>
        <w:suppressLineNumbers w:val="0"/>
        <w:spacing w:line="312" w:lineRule="auto"/>
        <w:ind w:left="0" w:firstLine="480"/>
        <w:rPr>
          <w:color w:val="auto"/>
          <w:highlight w:val="none"/>
        </w:rPr>
      </w:pPr>
      <w:r>
        <w:rPr>
          <w:rStyle w:val="16"/>
          <w:rFonts w:hint="eastAsia" w:ascii="宋体" w:hAnsi="宋体" w:cs="宋体"/>
          <w:color w:val="auto"/>
          <w:sz w:val="24"/>
          <w:szCs w:val="24"/>
          <w:highlight w:val="none"/>
          <w:lang w:val="en-US" w:eastAsia="zh-CN"/>
        </w:rPr>
        <w:t>七</w:t>
      </w:r>
      <w:r>
        <w:rPr>
          <w:rStyle w:val="16"/>
          <w:rFonts w:hint="eastAsia" w:ascii="宋体" w:hAnsi="宋体" w:eastAsia="宋体" w:cs="宋体"/>
          <w:color w:val="auto"/>
          <w:sz w:val="24"/>
          <w:szCs w:val="24"/>
          <w:highlight w:val="none"/>
        </w:rPr>
        <w:t>、开标时间及</w:t>
      </w:r>
      <w:r>
        <w:rPr>
          <w:rStyle w:val="16"/>
          <w:rFonts w:hint="eastAsia" w:ascii="宋体" w:hAnsi="宋体" w:cs="宋体"/>
          <w:color w:val="auto"/>
          <w:sz w:val="24"/>
          <w:szCs w:val="24"/>
          <w:highlight w:val="none"/>
          <w:lang w:val="en-US" w:eastAsia="zh-CN"/>
        </w:rPr>
        <w:t>地址</w:t>
      </w:r>
      <w:r>
        <w:rPr>
          <w:rStyle w:val="16"/>
          <w:rFonts w:hint="eastAsia" w:ascii="宋体" w:hAnsi="宋体" w:eastAsia="宋体" w:cs="宋体"/>
          <w:color w:val="auto"/>
          <w:sz w:val="24"/>
          <w:szCs w:val="24"/>
          <w:highlight w:val="none"/>
        </w:rPr>
        <w:t>：</w:t>
      </w:r>
    </w:p>
    <w:p w14:paraId="0305D1A5">
      <w:pPr>
        <w:pStyle w:val="11"/>
        <w:keepNext w:val="0"/>
        <w:keepLines w:val="0"/>
        <w:widowControl/>
        <w:suppressLineNumbers w:val="0"/>
        <w:spacing w:line="375" w:lineRule="atLeast"/>
        <w:ind w:left="479" w:leftChars="228" w:firstLine="64" w:firstLineChars="27"/>
        <w:rPr>
          <w:rFonts w:hint="default" w:eastAsia="宋体"/>
          <w:color w:val="auto"/>
          <w:highlight w:val="none"/>
          <w:lang w:val="en-US" w:eastAsia="zh-CN"/>
        </w:rPr>
      </w:pPr>
      <w:r>
        <w:rPr>
          <w:rFonts w:hint="eastAsia" w:ascii="宋体" w:hAnsi="宋体" w:eastAsia="宋体" w:cs="宋体"/>
          <w:color w:val="auto"/>
          <w:sz w:val="24"/>
          <w:szCs w:val="24"/>
          <w:highlight w:val="none"/>
        </w:rPr>
        <w:t>本项目开标时间：</w:t>
      </w:r>
      <w:r>
        <w:rPr>
          <w:rStyle w:val="16"/>
          <w:rFonts w:hint="eastAsia" w:ascii="宋体" w:hAnsi="宋体" w:eastAsia="宋体" w:cs="宋体"/>
          <w:color w:val="auto"/>
          <w:sz w:val="24"/>
          <w:szCs w:val="24"/>
          <w:highlight w:val="none"/>
          <w:u w:val="single"/>
        </w:rPr>
        <w:t>202</w:t>
      </w:r>
      <w:r>
        <w:rPr>
          <w:rStyle w:val="16"/>
          <w:rFonts w:hint="eastAsia" w:ascii="宋体" w:hAnsi="宋体" w:cs="宋体"/>
          <w:color w:val="auto"/>
          <w:sz w:val="24"/>
          <w:szCs w:val="24"/>
          <w:highlight w:val="none"/>
          <w:u w:val="single"/>
          <w:lang w:val="en-US" w:eastAsia="zh-CN"/>
        </w:rPr>
        <w:t>6</w:t>
      </w:r>
      <w:r>
        <w:rPr>
          <w:rStyle w:val="16"/>
          <w:rFonts w:hint="eastAsia" w:ascii="宋体" w:hAnsi="宋体" w:eastAsia="宋体" w:cs="宋体"/>
          <w:color w:val="auto"/>
          <w:sz w:val="24"/>
          <w:szCs w:val="24"/>
          <w:highlight w:val="none"/>
          <w:u w:val="single"/>
        </w:rPr>
        <w:t>年</w:t>
      </w:r>
      <w:r>
        <w:rPr>
          <w:rStyle w:val="16"/>
          <w:rFonts w:hint="eastAsia" w:ascii="宋体" w:hAnsi="宋体" w:cs="宋体"/>
          <w:color w:val="auto"/>
          <w:sz w:val="24"/>
          <w:szCs w:val="24"/>
          <w:highlight w:val="none"/>
          <w:u w:val="single"/>
          <w:lang w:val="en-US" w:eastAsia="zh-CN"/>
        </w:rPr>
        <w:t>8</w:t>
      </w:r>
      <w:r>
        <w:rPr>
          <w:rStyle w:val="16"/>
          <w:rFonts w:hint="eastAsia" w:ascii="宋体" w:hAnsi="宋体" w:eastAsia="宋体" w:cs="宋体"/>
          <w:color w:val="auto"/>
          <w:sz w:val="24"/>
          <w:szCs w:val="24"/>
          <w:highlight w:val="none"/>
          <w:u w:val="single"/>
        </w:rPr>
        <w:t>月</w:t>
      </w:r>
      <w:r>
        <w:rPr>
          <w:rStyle w:val="16"/>
          <w:rFonts w:hint="eastAsia" w:ascii="宋体" w:hAnsi="宋体" w:cs="宋体"/>
          <w:color w:val="auto"/>
          <w:sz w:val="24"/>
          <w:szCs w:val="24"/>
          <w:highlight w:val="none"/>
          <w:u w:val="single"/>
          <w:lang w:val="en-US" w:eastAsia="zh-CN"/>
        </w:rPr>
        <w:t>25</w:t>
      </w:r>
      <w:r>
        <w:rPr>
          <w:rStyle w:val="16"/>
          <w:rFonts w:hint="eastAsia" w:ascii="宋体" w:hAnsi="宋体" w:eastAsia="宋体" w:cs="宋体"/>
          <w:color w:val="auto"/>
          <w:sz w:val="24"/>
          <w:szCs w:val="24"/>
          <w:highlight w:val="none"/>
          <w:u w:val="single"/>
        </w:rPr>
        <w:t>日</w:t>
      </w:r>
      <w:r>
        <w:rPr>
          <w:rStyle w:val="16"/>
          <w:rFonts w:hint="eastAsia" w:ascii="宋体" w:hAnsi="宋体" w:cs="宋体"/>
          <w:color w:val="auto"/>
          <w:sz w:val="24"/>
          <w:szCs w:val="24"/>
          <w:highlight w:val="none"/>
          <w:u w:val="single"/>
          <w:lang w:val="en-US" w:eastAsia="zh-CN"/>
        </w:rPr>
        <w:t>9</w:t>
      </w:r>
      <w:r>
        <w:rPr>
          <w:rStyle w:val="16"/>
          <w:rFonts w:hint="eastAsia" w:ascii="宋体" w:hAnsi="宋体" w:eastAsia="宋体" w:cs="宋体"/>
          <w:color w:val="auto"/>
          <w:sz w:val="24"/>
          <w:szCs w:val="24"/>
          <w:highlight w:val="none"/>
          <w:u w:val="single"/>
        </w:rPr>
        <w:t>时</w:t>
      </w:r>
      <w:r>
        <w:rPr>
          <w:rStyle w:val="16"/>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t>本项目不要求投标人到开标现场开标</w:t>
      </w:r>
      <w:r>
        <w:rPr>
          <w:rFonts w:hint="eastAsia" w:ascii="宋体" w:hAnsi="宋体" w:cs="宋体"/>
          <w:color w:val="auto"/>
          <w:sz w:val="24"/>
          <w:szCs w:val="24"/>
          <w:highlight w:val="none"/>
          <w:lang w:eastAsia="zh-CN"/>
        </w:rPr>
        <w:t>。</w:t>
      </w:r>
      <w:r>
        <w:rPr>
          <w:rStyle w:val="16"/>
          <w:rFonts w:hint="eastAsia" w:ascii="宋体" w:hAnsi="宋体" w:cs="宋体"/>
          <w:color w:val="auto"/>
          <w:sz w:val="24"/>
          <w:szCs w:val="24"/>
          <w:highlight w:val="none"/>
          <w:lang w:val="en-US" w:eastAsia="zh-CN"/>
        </w:rPr>
        <w:t>开标地址：义乌市中心医院行政楼1楼109室。若</w:t>
      </w:r>
      <w:r>
        <w:rPr>
          <w:rFonts w:hint="eastAsia" w:ascii="宋体" w:hAnsi="宋体" w:eastAsia="宋体" w:cs="宋体"/>
          <w:color w:val="auto"/>
          <w:sz w:val="24"/>
          <w:szCs w:val="24"/>
          <w:highlight w:val="none"/>
        </w:rPr>
        <w:t>本项目开标时间</w:t>
      </w:r>
      <w:r>
        <w:rPr>
          <w:rFonts w:hint="eastAsia" w:ascii="宋体" w:hAnsi="宋体" w:cs="宋体"/>
          <w:color w:val="auto"/>
          <w:sz w:val="24"/>
          <w:szCs w:val="24"/>
          <w:highlight w:val="none"/>
          <w:lang w:val="en-US" w:eastAsia="zh-CN"/>
        </w:rPr>
        <w:t>调整，不另行通知。</w:t>
      </w:r>
    </w:p>
    <w:p w14:paraId="59198EE4">
      <w:pPr>
        <w:pStyle w:val="11"/>
        <w:keepNext w:val="0"/>
        <w:keepLines w:val="0"/>
        <w:widowControl/>
        <w:numPr>
          <w:ilvl w:val="0"/>
          <w:numId w:val="1"/>
        </w:numPr>
        <w:suppressLineNumbers w:val="0"/>
        <w:autoSpaceDE w:val="0"/>
        <w:autoSpaceDN/>
        <w:spacing w:line="312" w:lineRule="auto"/>
        <w:ind w:left="0" w:firstLine="480"/>
        <w:rPr>
          <w:rStyle w:val="16"/>
          <w:rFonts w:hint="eastAsia" w:ascii="宋体" w:hAnsi="宋体" w:eastAsia="宋体" w:cs="宋体"/>
          <w:color w:val="auto"/>
          <w:sz w:val="24"/>
          <w:szCs w:val="24"/>
          <w:highlight w:val="none"/>
        </w:rPr>
      </w:pPr>
      <w:r>
        <w:rPr>
          <w:rStyle w:val="16"/>
          <w:rFonts w:hint="eastAsia" w:ascii="宋体" w:hAnsi="宋体" w:eastAsia="宋体" w:cs="宋体"/>
          <w:color w:val="auto"/>
          <w:sz w:val="24"/>
          <w:szCs w:val="24"/>
          <w:highlight w:val="none"/>
        </w:rPr>
        <w:t>其他事项：</w:t>
      </w:r>
    </w:p>
    <w:p w14:paraId="3B9E9A96">
      <w:pPr>
        <w:pStyle w:val="8"/>
        <w:numPr>
          <w:ilvl w:val="0"/>
          <w:numId w:val="2"/>
        </w:numPr>
        <w:adjustRightInd w:val="0"/>
        <w:snapToGrid w:val="0"/>
        <w:spacing w:line="400" w:lineRule="exact"/>
        <w:ind w:firstLine="480" w:firstLineChars="200"/>
        <w:rPr>
          <w:rFonts w:hint="eastAsia" w:ascii="新宋体" w:hAnsi="新宋体" w:eastAsia="新宋体" w:cs="Courier New"/>
          <w:color w:val="auto"/>
          <w:sz w:val="24"/>
          <w:highlight w:val="none"/>
          <w:lang w:val="en-US" w:eastAsia="zh-CN"/>
        </w:rPr>
      </w:pPr>
      <w:r>
        <w:rPr>
          <w:rFonts w:hint="eastAsia" w:ascii="新宋体" w:hAnsi="新宋体" w:eastAsia="新宋体" w:cs="Courier New"/>
          <w:color w:val="auto"/>
          <w:sz w:val="24"/>
          <w:highlight w:val="none"/>
          <w:lang w:val="en-US" w:eastAsia="zh-CN"/>
        </w:rPr>
        <w:t>对本次招标提出询问，请按以下方式联系：金老师0579-85208030；</w:t>
      </w:r>
    </w:p>
    <w:p w14:paraId="630F12C1">
      <w:pPr>
        <w:pStyle w:val="3"/>
        <w:ind w:firstLine="480" w:firstLineChars="200"/>
        <w:rPr>
          <w:rFonts w:hint="default" w:eastAsia="宋体"/>
          <w:color w:val="auto"/>
          <w:highlight w:val="none"/>
          <w:lang w:val="en-US" w:eastAsia="zh-CN"/>
        </w:rPr>
      </w:pPr>
      <w:r>
        <w:rPr>
          <w:rFonts w:hint="eastAsia" w:ascii="宋体" w:hAnsi="宋体" w:eastAsia="宋体" w:cs="宋体"/>
          <w:color w:val="auto"/>
          <w:sz w:val="24"/>
          <w:szCs w:val="24"/>
          <w:highlight w:val="none"/>
        </w:rPr>
        <w:t> </w:t>
      </w:r>
      <w:r>
        <w:rPr>
          <w:rFonts w:hint="eastAsia" w:ascii="宋体" w:hAnsi="宋体" w:cs="宋体"/>
          <w:color w:val="auto"/>
          <w:sz w:val="24"/>
          <w:szCs w:val="24"/>
          <w:highlight w:val="none"/>
          <w:lang w:val="en-US" w:eastAsia="zh-CN"/>
        </w:rPr>
        <w:t xml:space="preserve">  </w:t>
      </w:r>
    </w:p>
    <w:p w14:paraId="7EF018DE">
      <w:pPr>
        <w:pStyle w:val="3"/>
        <w:ind w:firstLine="480" w:firstLineChars="200"/>
        <w:rPr>
          <w:rFonts w:hint="eastAsia" w:ascii="宋体" w:hAnsi="宋体" w:eastAsia="宋体" w:cs="宋体"/>
          <w:color w:val="auto"/>
          <w:sz w:val="24"/>
          <w:szCs w:val="24"/>
          <w:highlight w:val="none"/>
        </w:rPr>
      </w:pPr>
    </w:p>
    <w:p w14:paraId="74453094">
      <w:pPr>
        <w:pStyle w:val="3"/>
        <w:jc w:val="center"/>
        <w:rPr>
          <w:rFonts w:hint="eastAsia" w:ascii="新宋体" w:hAnsi="新宋体" w:eastAsia="新宋体" w:cs="Courier New"/>
          <w:color w:val="auto"/>
          <w:kern w:val="2"/>
          <w:sz w:val="24"/>
          <w:szCs w:val="21"/>
          <w:highlight w:val="none"/>
          <w:lang w:val="en-US" w:eastAsia="zh-CN" w:bidi="ar-SA"/>
        </w:rPr>
      </w:pPr>
      <w:r>
        <w:rPr>
          <w:rFonts w:hint="eastAsia" w:ascii="宋体" w:hAnsi="宋体" w:cs="宋体"/>
          <w:color w:val="auto"/>
          <w:sz w:val="24"/>
          <w:szCs w:val="24"/>
          <w:highlight w:val="none"/>
          <w:lang w:val="en-US" w:eastAsia="zh-CN"/>
        </w:rPr>
        <w:t xml:space="preserve">                                    </w:t>
      </w:r>
      <w:r>
        <w:rPr>
          <w:rFonts w:hint="eastAsia" w:ascii="新宋体" w:hAnsi="新宋体" w:eastAsia="新宋体" w:cs="Courier New"/>
          <w:color w:val="auto"/>
          <w:kern w:val="2"/>
          <w:sz w:val="24"/>
          <w:szCs w:val="21"/>
          <w:highlight w:val="none"/>
          <w:lang w:val="en-US" w:eastAsia="zh-CN" w:bidi="ar-SA"/>
        </w:rPr>
        <w:t>义乌市中心医院 </w:t>
      </w:r>
    </w:p>
    <w:p w14:paraId="03488882">
      <w:pPr>
        <w:jc w:val="center"/>
        <w:rPr>
          <w:rFonts w:ascii="宋体" w:hAnsi="宋体"/>
          <w:color w:val="auto"/>
          <w:w w:val="90"/>
          <w:sz w:val="28"/>
          <w:szCs w:val="28"/>
          <w:highlight w:val="none"/>
        </w:rPr>
      </w:pPr>
      <w:r>
        <w:rPr>
          <w:rFonts w:hint="eastAsia" w:ascii="新宋体" w:hAnsi="新宋体" w:eastAsia="新宋体" w:cs="Courier New"/>
          <w:color w:val="auto"/>
          <w:kern w:val="2"/>
          <w:sz w:val="24"/>
          <w:szCs w:val="21"/>
          <w:highlight w:val="none"/>
          <w:lang w:val="en-US" w:eastAsia="zh-CN" w:bidi="ar-SA"/>
        </w:rPr>
        <w:t xml:space="preserve">                                     2026年8月19日</w:t>
      </w:r>
      <w:r>
        <w:rPr>
          <w:rFonts w:hint="eastAsia" w:ascii="宋体" w:hAnsi="宋体" w:eastAsia="宋体" w:cs="宋体"/>
          <w:color w:val="auto"/>
          <w:sz w:val="28"/>
          <w:szCs w:val="28"/>
          <w:highlight w:val="none"/>
        </w:rPr>
        <w:t> </w:t>
      </w:r>
    </w:p>
    <w:p w14:paraId="44C93748">
      <w:pPr>
        <w:jc w:val="center"/>
        <w:rPr>
          <w:rFonts w:ascii="宋体" w:hAnsi="宋体"/>
          <w:color w:val="auto"/>
          <w:w w:val="90"/>
          <w:sz w:val="28"/>
          <w:szCs w:val="28"/>
          <w:highlight w:val="none"/>
        </w:rPr>
      </w:pPr>
    </w:p>
    <w:p w14:paraId="431EC642">
      <w:pPr>
        <w:snapToGrid w:val="0"/>
        <w:spacing w:before="120" w:beforeLines="50" w:line="360" w:lineRule="auto"/>
        <w:rPr>
          <w:rFonts w:ascii="宋体" w:hAnsi="宋体"/>
          <w:color w:val="auto"/>
          <w:sz w:val="30"/>
          <w:szCs w:val="72"/>
          <w:highlight w:val="none"/>
        </w:rPr>
      </w:pPr>
    </w:p>
    <w:p w14:paraId="3413EC36">
      <w:pPr>
        <w:snapToGrid w:val="0"/>
        <w:spacing w:before="120" w:beforeLines="50" w:line="360" w:lineRule="auto"/>
        <w:rPr>
          <w:rFonts w:ascii="宋体" w:hAnsi="宋体"/>
          <w:color w:val="auto"/>
          <w:sz w:val="30"/>
          <w:szCs w:val="72"/>
          <w:highlight w:val="none"/>
        </w:rPr>
      </w:pPr>
    </w:p>
    <w:p w14:paraId="54FE05FE">
      <w:pPr>
        <w:snapToGrid w:val="0"/>
        <w:spacing w:before="120" w:beforeLines="50" w:line="360" w:lineRule="auto"/>
        <w:rPr>
          <w:rFonts w:ascii="宋体" w:hAnsi="宋体"/>
          <w:color w:val="auto"/>
          <w:sz w:val="30"/>
          <w:szCs w:val="72"/>
          <w:highlight w:val="none"/>
        </w:rPr>
      </w:pPr>
    </w:p>
    <w:p w14:paraId="7A671D57">
      <w:pPr>
        <w:snapToGrid w:val="0"/>
        <w:spacing w:before="120" w:beforeLines="50" w:line="360" w:lineRule="auto"/>
        <w:rPr>
          <w:rFonts w:ascii="宋体" w:hAnsi="宋体"/>
          <w:color w:val="auto"/>
          <w:sz w:val="30"/>
          <w:szCs w:val="72"/>
          <w:highlight w:val="none"/>
        </w:rPr>
      </w:pPr>
    </w:p>
    <w:p w14:paraId="7BE6EEC4">
      <w:pPr>
        <w:pStyle w:val="8"/>
        <w:spacing w:before="120" w:after="120" w:line="360" w:lineRule="auto"/>
        <w:jc w:val="center"/>
        <w:rPr>
          <w:rFonts w:hint="eastAsia" w:ascii="创艺简标宋" w:hAnsi="宋体" w:eastAsia="创艺简标宋"/>
          <w:color w:val="auto"/>
          <w:sz w:val="44"/>
          <w:szCs w:val="44"/>
          <w:highlight w:val="none"/>
        </w:rPr>
      </w:pPr>
    </w:p>
    <w:p w14:paraId="1B1E36AB">
      <w:pPr>
        <w:pStyle w:val="8"/>
        <w:spacing w:before="120" w:after="120" w:line="360" w:lineRule="auto"/>
        <w:jc w:val="center"/>
        <w:rPr>
          <w:rFonts w:hint="eastAsia" w:ascii="创艺简标宋" w:hAnsi="宋体" w:eastAsia="创艺简标宋"/>
          <w:color w:val="auto"/>
          <w:sz w:val="44"/>
          <w:szCs w:val="44"/>
          <w:highlight w:val="none"/>
        </w:rPr>
      </w:pPr>
    </w:p>
    <w:p w14:paraId="07937A6D">
      <w:pPr>
        <w:pStyle w:val="8"/>
        <w:spacing w:before="120" w:after="120" w:line="360" w:lineRule="auto"/>
        <w:jc w:val="center"/>
        <w:rPr>
          <w:rFonts w:hint="eastAsia" w:ascii="创艺简标宋" w:hAnsi="宋体" w:eastAsia="创艺简标宋"/>
          <w:color w:val="auto"/>
          <w:sz w:val="44"/>
          <w:szCs w:val="44"/>
          <w:highlight w:val="none"/>
        </w:rPr>
      </w:pPr>
    </w:p>
    <w:p w14:paraId="2525B74C">
      <w:pPr>
        <w:pStyle w:val="8"/>
        <w:spacing w:before="120" w:after="120" w:line="360" w:lineRule="auto"/>
        <w:jc w:val="center"/>
        <w:rPr>
          <w:rFonts w:hint="eastAsia" w:ascii="创艺简标宋" w:hAnsi="宋体" w:eastAsia="创艺简标宋"/>
          <w:color w:val="auto"/>
          <w:sz w:val="44"/>
          <w:szCs w:val="44"/>
          <w:highlight w:val="none"/>
        </w:rPr>
      </w:pPr>
    </w:p>
    <w:p w14:paraId="493CBFDA">
      <w:pPr>
        <w:pStyle w:val="8"/>
        <w:spacing w:before="120" w:after="120" w:line="360" w:lineRule="auto"/>
        <w:jc w:val="center"/>
        <w:rPr>
          <w:rFonts w:hint="eastAsia" w:ascii="创艺简标宋" w:hAnsi="宋体" w:eastAsia="创艺简标宋"/>
          <w:color w:val="auto"/>
          <w:sz w:val="44"/>
          <w:szCs w:val="44"/>
          <w:highlight w:val="none"/>
        </w:rPr>
      </w:pPr>
    </w:p>
    <w:p w14:paraId="6AF0531B">
      <w:pPr>
        <w:pStyle w:val="8"/>
        <w:spacing w:before="120" w:after="120" w:line="360" w:lineRule="auto"/>
        <w:jc w:val="center"/>
        <w:rPr>
          <w:rFonts w:hint="eastAsia" w:ascii="创艺简标宋" w:hAnsi="宋体" w:eastAsia="创艺简标宋"/>
          <w:color w:val="auto"/>
          <w:sz w:val="44"/>
          <w:szCs w:val="44"/>
          <w:highlight w:val="none"/>
        </w:rPr>
      </w:pPr>
    </w:p>
    <w:p w14:paraId="6A24D95E">
      <w:pPr>
        <w:pStyle w:val="8"/>
        <w:spacing w:before="120" w:after="120" w:line="360" w:lineRule="auto"/>
        <w:jc w:val="center"/>
        <w:rPr>
          <w:rFonts w:hint="eastAsia" w:ascii="创艺简标宋" w:hAnsi="宋体" w:eastAsia="创艺简标宋"/>
          <w:color w:val="auto"/>
          <w:sz w:val="44"/>
          <w:szCs w:val="44"/>
          <w:highlight w:val="none"/>
        </w:rPr>
      </w:pPr>
    </w:p>
    <w:p w14:paraId="20939151">
      <w:pPr>
        <w:pStyle w:val="8"/>
        <w:spacing w:before="120" w:after="120" w:line="360" w:lineRule="auto"/>
        <w:jc w:val="center"/>
        <w:rPr>
          <w:rFonts w:hint="eastAsia" w:ascii="创艺简标宋" w:hAnsi="宋体" w:eastAsia="创艺简标宋"/>
          <w:color w:val="auto"/>
          <w:sz w:val="44"/>
          <w:szCs w:val="44"/>
          <w:highlight w:val="none"/>
        </w:rPr>
      </w:pPr>
    </w:p>
    <w:p w14:paraId="0013EB1D">
      <w:pPr>
        <w:pStyle w:val="8"/>
        <w:spacing w:before="120" w:after="120" w:line="360" w:lineRule="auto"/>
        <w:jc w:val="center"/>
        <w:rPr>
          <w:rFonts w:hint="eastAsia" w:ascii="创艺简标宋" w:hAnsi="宋体" w:eastAsia="创艺简标宋"/>
          <w:color w:val="auto"/>
          <w:sz w:val="44"/>
          <w:szCs w:val="44"/>
          <w:highlight w:val="none"/>
        </w:rPr>
      </w:pPr>
    </w:p>
    <w:p w14:paraId="3F3711D6">
      <w:pPr>
        <w:pStyle w:val="8"/>
        <w:spacing w:before="120" w:after="120" w:line="360" w:lineRule="auto"/>
        <w:jc w:val="center"/>
        <w:rPr>
          <w:rFonts w:hint="eastAsia" w:ascii="创艺简标宋" w:hAnsi="宋体" w:eastAsia="创艺简标宋"/>
          <w:color w:val="auto"/>
          <w:sz w:val="44"/>
          <w:szCs w:val="44"/>
          <w:highlight w:val="none"/>
        </w:rPr>
      </w:pPr>
    </w:p>
    <w:p w14:paraId="5F09C865">
      <w:pPr>
        <w:pStyle w:val="8"/>
        <w:spacing w:before="120" w:after="120" w:line="360" w:lineRule="auto"/>
        <w:jc w:val="center"/>
        <w:rPr>
          <w:rFonts w:ascii="创艺简标宋" w:hAnsi="宋体" w:eastAsia="创艺简标宋"/>
          <w:color w:val="auto"/>
          <w:sz w:val="44"/>
          <w:szCs w:val="44"/>
          <w:highlight w:val="none"/>
        </w:rPr>
      </w:pPr>
      <w:r>
        <w:rPr>
          <w:rFonts w:hint="eastAsia" w:ascii="创艺简标宋" w:hAnsi="宋体" w:eastAsia="创艺简标宋"/>
          <w:color w:val="auto"/>
          <w:sz w:val="44"/>
          <w:szCs w:val="44"/>
          <w:highlight w:val="none"/>
        </w:rPr>
        <w:t>目    录</w:t>
      </w:r>
    </w:p>
    <w:p w14:paraId="19BBA985">
      <w:pPr>
        <w:pStyle w:val="8"/>
        <w:spacing w:before="120" w:after="120" w:line="360" w:lineRule="auto"/>
        <w:jc w:val="center"/>
        <w:rPr>
          <w:rFonts w:ascii="创艺简标宋" w:hAnsi="宋体" w:eastAsia="创艺简标宋"/>
          <w:color w:val="auto"/>
          <w:sz w:val="44"/>
          <w:szCs w:val="44"/>
          <w:highlight w:val="none"/>
        </w:rPr>
      </w:pPr>
    </w:p>
    <w:p w14:paraId="41730760">
      <w:pPr>
        <w:numPr>
          <w:ilvl w:val="0"/>
          <w:numId w:val="3"/>
        </w:numPr>
        <w:spacing w:before="120" w:beforeLines="50" w:line="480" w:lineRule="exact"/>
        <w:rPr>
          <w:rFonts w:hint="eastAsia" w:ascii="宋体" w:hAnsi="宋体"/>
          <w:color w:val="auto"/>
          <w:sz w:val="30"/>
          <w:highlight w:val="none"/>
          <w:lang w:val="en-US" w:eastAsia="zh-CN"/>
        </w:rPr>
      </w:pPr>
      <w:r>
        <w:rPr>
          <w:rFonts w:hint="eastAsia" w:ascii="宋体" w:hAnsi="宋体"/>
          <w:color w:val="auto"/>
          <w:sz w:val="30"/>
          <w:highlight w:val="none"/>
          <w:lang w:val="en-US" w:eastAsia="zh-CN"/>
        </w:rPr>
        <w:t xml:space="preserve"> 采购需求</w:t>
      </w:r>
    </w:p>
    <w:p w14:paraId="27402785">
      <w:pPr>
        <w:numPr>
          <w:ilvl w:val="0"/>
          <w:numId w:val="3"/>
        </w:numPr>
        <w:spacing w:before="120" w:beforeLines="50" w:line="480" w:lineRule="exact"/>
        <w:rPr>
          <w:rFonts w:hint="eastAsia" w:ascii="宋体" w:hAnsi="宋体"/>
          <w:color w:val="auto"/>
          <w:sz w:val="30"/>
          <w:highlight w:val="none"/>
          <w:lang w:val="en-US" w:eastAsia="zh-CN"/>
        </w:rPr>
      </w:pPr>
      <w:r>
        <w:rPr>
          <w:rFonts w:hint="eastAsia" w:ascii="宋体" w:hAnsi="宋体"/>
          <w:color w:val="auto"/>
          <w:sz w:val="30"/>
          <w:highlight w:val="none"/>
          <w:lang w:val="en-US" w:eastAsia="zh-CN"/>
        </w:rPr>
        <w:t xml:space="preserve"> 谈判成交评定标准</w:t>
      </w:r>
    </w:p>
    <w:p w14:paraId="44BF3E5A">
      <w:pPr>
        <w:numPr>
          <w:ilvl w:val="0"/>
          <w:numId w:val="3"/>
        </w:numPr>
        <w:spacing w:before="120" w:beforeLines="50" w:line="480" w:lineRule="exact"/>
        <w:rPr>
          <w:rFonts w:hint="eastAsia" w:ascii="宋体" w:hAnsi="宋体"/>
          <w:color w:val="auto"/>
          <w:sz w:val="30"/>
          <w:highlight w:val="none"/>
          <w:lang w:val="en-US" w:eastAsia="zh-CN"/>
        </w:rPr>
      </w:pPr>
      <w:r>
        <w:rPr>
          <w:rFonts w:hint="eastAsia" w:ascii="宋体" w:hAnsi="宋体"/>
          <w:color w:val="auto"/>
          <w:sz w:val="30"/>
          <w:highlight w:val="none"/>
          <w:lang w:val="en-US" w:eastAsia="zh-CN"/>
        </w:rPr>
        <w:t xml:space="preserve"> 评标方法</w:t>
      </w:r>
    </w:p>
    <w:p w14:paraId="1003E53E">
      <w:pPr>
        <w:numPr>
          <w:ilvl w:val="0"/>
          <w:numId w:val="3"/>
        </w:numPr>
        <w:spacing w:before="120" w:beforeLines="50" w:line="480" w:lineRule="exact"/>
        <w:rPr>
          <w:rFonts w:hint="default" w:ascii="宋体" w:hAnsi="宋体"/>
          <w:color w:val="auto"/>
          <w:sz w:val="30"/>
          <w:highlight w:val="none"/>
          <w:lang w:val="en-US" w:eastAsia="zh-CN"/>
        </w:rPr>
      </w:pPr>
      <w:r>
        <w:rPr>
          <w:rFonts w:hint="eastAsia" w:ascii="宋体" w:hAnsi="宋体"/>
          <w:color w:val="auto"/>
          <w:sz w:val="30"/>
          <w:highlight w:val="none"/>
          <w:lang w:val="en-US" w:eastAsia="zh-CN"/>
        </w:rPr>
        <w:t xml:space="preserve"> 附件</w:t>
      </w:r>
    </w:p>
    <w:p w14:paraId="7680B3D8">
      <w:pPr>
        <w:pStyle w:val="12"/>
        <w:rPr>
          <w:rFonts w:hint="eastAsia" w:ascii="宋体" w:hAnsi="宋体"/>
          <w:color w:val="auto"/>
          <w:sz w:val="30"/>
          <w:highlight w:val="none"/>
          <w:lang w:val="en-US" w:eastAsia="zh-CN"/>
        </w:rPr>
      </w:pPr>
      <w:r>
        <w:rPr>
          <w:rFonts w:hint="eastAsia" w:ascii="宋体" w:hAnsi="宋体"/>
          <w:color w:val="auto"/>
          <w:sz w:val="30"/>
          <w:highlight w:val="none"/>
          <w:lang w:val="en-US" w:eastAsia="zh-CN"/>
        </w:rPr>
        <w:t xml:space="preserve">       </w:t>
      </w:r>
    </w:p>
    <w:p w14:paraId="49C21528">
      <w:pPr>
        <w:rPr>
          <w:rFonts w:hint="default"/>
          <w:color w:val="auto"/>
          <w:highlight w:val="none"/>
          <w:lang w:val="en-US"/>
        </w:rPr>
      </w:pPr>
      <w:r>
        <w:rPr>
          <w:rFonts w:hint="eastAsia" w:ascii="宋体" w:hAnsi="宋体"/>
          <w:color w:val="auto"/>
          <w:sz w:val="30"/>
          <w:highlight w:val="none"/>
          <w:lang w:val="en-US" w:eastAsia="zh-CN"/>
        </w:rPr>
        <w:t xml:space="preserve">       </w:t>
      </w:r>
    </w:p>
    <w:p w14:paraId="16D91CEA">
      <w:pPr>
        <w:spacing w:before="120" w:beforeLines="50" w:line="480" w:lineRule="exact"/>
        <w:rPr>
          <w:rFonts w:ascii="宋体" w:hAnsi="宋体"/>
          <w:color w:val="auto"/>
          <w:sz w:val="30"/>
          <w:highlight w:val="none"/>
        </w:rPr>
      </w:pPr>
    </w:p>
    <w:p w14:paraId="7FC84AD5">
      <w:pPr>
        <w:spacing w:before="120" w:beforeLines="50" w:line="480" w:lineRule="exact"/>
        <w:rPr>
          <w:rFonts w:ascii="宋体" w:hAnsi="宋体"/>
          <w:color w:val="auto"/>
          <w:sz w:val="30"/>
          <w:highlight w:val="none"/>
        </w:rPr>
      </w:pPr>
    </w:p>
    <w:p w14:paraId="2544D747">
      <w:pPr>
        <w:spacing w:before="120" w:beforeLines="50" w:line="480" w:lineRule="exact"/>
        <w:rPr>
          <w:rFonts w:ascii="宋体" w:hAnsi="宋体"/>
          <w:color w:val="auto"/>
          <w:sz w:val="30"/>
          <w:highlight w:val="none"/>
        </w:rPr>
      </w:pPr>
    </w:p>
    <w:p w14:paraId="59F18E5A">
      <w:pPr>
        <w:spacing w:before="120" w:beforeLines="50" w:line="480" w:lineRule="exact"/>
        <w:rPr>
          <w:rFonts w:hint="eastAsia" w:ascii="宋体" w:hAnsi="宋体"/>
          <w:color w:val="auto"/>
          <w:sz w:val="30"/>
          <w:highlight w:val="none"/>
        </w:rPr>
      </w:pPr>
    </w:p>
    <w:p w14:paraId="5BECEE22">
      <w:pPr>
        <w:spacing w:before="120" w:beforeLines="50" w:line="480" w:lineRule="exact"/>
        <w:rPr>
          <w:rFonts w:hint="eastAsia" w:ascii="宋体" w:hAnsi="宋体"/>
          <w:color w:val="auto"/>
          <w:sz w:val="30"/>
          <w:highlight w:val="none"/>
        </w:rPr>
      </w:pPr>
    </w:p>
    <w:p w14:paraId="5B2F19B3">
      <w:pPr>
        <w:spacing w:before="120" w:beforeLines="50" w:line="480" w:lineRule="exact"/>
        <w:rPr>
          <w:rFonts w:ascii="宋体" w:hAnsi="宋体"/>
          <w:color w:val="auto"/>
          <w:sz w:val="30"/>
          <w:highlight w:val="none"/>
        </w:rPr>
      </w:pPr>
    </w:p>
    <w:p w14:paraId="2862627E">
      <w:pPr>
        <w:spacing w:before="120" w:beforeLines="50" w:line="480" w:lineRule="exact"/>
        <w:rPr>
          <w:rFonts w:ascii="宋体" w:hAnsi="宋体"/>
          <w:color w:val="auto"/>
          <w:sz w:val="30"/>
          <w:szCs w:val="20"/>
          <w:highlight w:val="none"/>
        </w:rPr>
      </w:pPr>
    </w:p>
    <w:p w14:paraId="02C98675">
      <w:pPr>
        <w:spacing w:line="360" w:lineRule="auto"/>
        <w:rPr>
          <w:b/>
          <w:bCs/>
          <w:color w:val="auto"/>
          <w:sz w:val="30"/>
          <w:highlight w:val="none"/>
        </w:rPr>
      </w:pPr>
    </w:p>
    <w:p w14:paraId="0B0DDC09">
      <w:pPr>
        <w:pStyle w:val="3"/>
        <w:rPr>
          <w:b/>
          <w:bCs/>
          <w:color w:val="auto"/>
          <w:sz w:val="30"/>
          <w:highlight w:val="none"/>
        </w:rPr>
      </w:pPr>
    </w:p>
    <w:p w14:paraId="0DB6EBA1">
      <w:pPr>
        <w:rPr>
          <w:b/>
          <w:bCs/>
          <w:color w:val="auto"/>
          <w:sz w:val="30"/>
          <w:highlight w:val="none"/>
        </w:rPr>
      </w:pPr>
    </w:p>
    <w:p w14:paraId="46DA73C7">
      <w:pPr>
        <w:snapToGrid w:val="0"/>
        <w:spacing w:after="120" w:afterLines="50"/>
        <w:jc w:val="both"/>
        <w:rPr>
          <w:rFonts w:ascii="黑体" w:hAnsi="宋体" w:eastAsia="黑体"/>
          <w:color w:val="auto"/>
          <w:sz w:val="30"/>
          <w:szCs w:val="30"/>
          <w:highlight w:val="none"/>
        </w:rPr>
      </w:pPr>
      <w:r>
        <w:rPr>
          <w:rFonts w:ascii="宋体" w:hAnsi="宋体"/>
          <w:color w:val="auto"/>
          <w:highlight w:val="none"/>
        </w:rPr>
        <w:br w:type="page"/>
      </w:r>
      <w:r>
        <w:rPr>
          <w:rFonts w:hint="eastAsia" w:ascii="黑体" w:hAnsi="宋体" w:eastAsia="黑体"/>
          <w:color w:val="auto"/>
          <w:sz w:val="30"/>
          <w:szCs w:val="30"/>
          <w:highlight w:val="none"/>
        </w:rPr>
        <w:t>第</w:t>
      </w:r>
      <w:r>
        <w:rPr>
          <w:rFonts w:hint="eastAsia" w:ascii="黑体" w:hAnsi="宋体" w:eastAsia="黑体"/>
          <w:color w:val="auto"/>
          <w:sz w:val="30"/>
          <w:szCs w:val="30"/>
          <w:highlight w:val="none"/>
          <w:lang w:val="en-US" w:eastAsia="zh-CN"/>
        </w:rPr>
        <w:t>一</w:t>
      </w:r>
      <w:r>
        <w:rPr>
          <w:rFonts w:hint="eastAsia" w:ascii="黑体" w:hAnsi="宋体" w:eastAsia="黑体"/>
          <w:color w:val="auto"/>
          <w:sz w:val="30"/>
          <w:szCs w:val="30"/>
          <w:highlight w:val="none"/>
        </w:rPr>
        <w:t xml:space="preserve">章  </w:t>
      </w:r>
      <w:r>
        <w:rPr>
          <w:rFonts w:hint="eastAsia" w:ascii="黑体" w:hAnsi="宋体" w:eastAsia="黑体"/>
          <w:bCs/>
          <w:color w:val="auto"/>
          <w:sz w:val="30"/>
          <w:szCs w:val="30"/>
          <w:highlight w:val="none"/>
          <w:lang w:val="en-US" w:eastAsia="zh-CN"/>
        </w:rPr>
        <w:t>采购</w:t>
      </w:r>
      <w:r>
        <w:rPr>
          <w:rFonts w:hint="eastAsia" w:ascii="黑体" w:hAnsi="宋体" w:eastAsia="黑体"/>
          <w:color w:val="auto"/>
          <w:sz w:val="30"/>
          <w:szCs w:val="30"/>
          <w:highlight w:val="none"/>
        </w:rPr>
        <w:t>需求</w:t>
      </w:r>
    </w:p>
    <w:p w14:paraId="44917D8A">
      <w:pPr>
        <w:pStyle w:val="4"/>
        <w:snapToGrid w:val="0"/>
        <w:spacing w:line="420" w:lineRule="exact"/>
        <w:ind w:firstLine="482" w:firstLineChars="200"/>
        <w:rPr>
          <w:rFonts w:hint="eastAsia" w:ascii="宋体" w:hAnsi="宋体"/>
          <w:b/>
          <w:color w:val="auto"/>
          <w:kern w:val="0"/>
          <w:sz w:val="24"/>
          <w:highlight w:val="none"/>
          <w:lang w:eastAsia="zh-CN"/>
        </w:rPr>
      </w:pPr>
      <w:r>
        <w:rPr>
          <w:rFonts w:hint="eastAsia" w:ascii="宋体" w:hAnsi="宋体"/>
          <w:b/>
          <w:color w:val="auto"/>
          <w:kern w:val="0"/>
          <w:sz w:val="24"/>
          <w:highlight w:val="none"/>
          <w:lang w:eastAsia="zh-CN"/>
        </w:rPr>
        <w:t>一、采购内容</w:t>
      </w:r>
    </w:p>
    <w:p w14:paraId="63351866">
      <w:pPr>
        <w:pStyle w:val="5"/>
        <w:ind w:left="479" w:leftChars="228" w:firstLine="480" w:firstLineChars="200"/>
        <w:rPr>
          <w:rFonts w:hint="default"/>
          <w:color w:val="auto"/>
          <w:highlight w:val="none"/>
          <w:lang w:val="en-US" w:eastAsia="zh-CN"/>
        </w:rPr>
      </w:pPr>
      <w:r>
        <w:rPr>
          <w:rFonts w:hint="eastAsia"/>
          <w:color w:val="auto"/>
          <w:highlight w:val="none"/>
          <w:lang w:val="en-US" w:eastAsia="zh-CN"/>
        </w:rPr>
        <w:t>义乌市中心医院年度零星工程代建服务采购项目</w:t>
      </w:r>
    </w:p>
    <w:p w14:paraId="100B15FE">
      <w:pPr>
        <w:widowControl/>
        <w:tabs>
          <w:tab w:val="left" w:pos="789"/>
        </w:tabs>
        <w:spacing w:line="360" w:lineRule="exact"/>
        <w:ind w:firstLine="240" w:firstLineChars="100"/>
        <w:jc w:val="left"/>
        <w:rPr>
          <w:rFonts w:hint="eastAsia" w:ascii="宋体" w:hAnsi="宋体"/>
          <w:b/>
          <w:bCs/>
          <w:color w:val="auto"/>
          <w:kern w:val="0"/>
          <w:sz w:val="24"/>
          <w:highlight w:val="none"/>
        </w:rPr>
      </w:pPr>
      <w:r>
        <w:rPr>
          <w:rFonts w:hint="eastAsia" w:ascii="宋体" w:hAnsi="宋体"/>
          <w:color w:val="auto"/>
          <w:kern w:val="0"/>
          <w:sz w:val="24"/>
          <w:highlight w:val="none"/>
        </w:rPr>
        <w:t>1</w:t>
      </w:r>
      <w:r>
        <w:rPr>
          <w:rFonts w:hint="eastAsia" w:ascii="宋体" w:hAnsi="宋体"/>
          <w:color w:val="auto"/>
          <w:kern w:val="0"/>
          <w:sz w:val="24"/>
          <w:highlight w:val="none"/>
          <w:lang w:eastAsia="zh-CN"/>
        </w:rPr>
        <w:t>.</w:t>
      </w:r>
      <w:r>
        <w:rPr>
          <w:rFonts w:hint="eastAsia" w:ascii="宋体" w:hAnsi="宋体"/>
          <w:b/>
          <w:bCs/>
          <w:color w:val="auto"/>
          <w:kern w:val="0"/>
          <w:sz w:val="24"/>
          <w:highlight w:val="none"/>
          <w:lang w:val="en-US" w:eastAsia="zh-CN"/>
        </w:rPr>
        <w:t>投标须知</w:t>
      </w:r>
      <w:r>
        <w:rPr>
          <w:rFonts w:hint="eastAsia" w:ascii="宋体" w:hAnsi="宋体"/>
          <w:b/>
          <w:bCs/>
          <w:color w:val="auto"/>
          <w:kern w:val="0"/>
          <w:sz w:val="24"/>
          <w:highlight w:val="none"/>
        </w:rPr>
        <w:t>：</w:t>
      </w:r>
    </w:p>
    <w:p w14:paraId="0000D3D7">
      <w:pPr>
        <w:pStyle w:val="8"/>
        <w:spacing w:line="460" w:lineRule="exact"/>
        <w:ind w:firstLine="480"/>
        <w:rPr>
          <w:rFonts w:ascii="Times New Roman" w:hAnsi="Times New Roman"/>
          <w:color w:val="auto"/>
          <w:sz w:val="24"/>
          <w:szCs w:val="24"/>
          <w:highlight w:val="none"/>
        </w:rPr>
      </w:pPr>
      <w:r>
        <w:rPr>
          <w:rFonts w:hint="eastAsia" w:ascii="Times New Roman" w:hAnsi="Times New Roman"/>
          <w:color w:val="auto"/>
          <w:sz w:val="24"/>
          <w:szCs w:val="24"/>
          <w:highlight w:val="none"/>
          <w:lang w:val="en-US" w:eastAsia="zh-CN"/>
        </w:rPr>
        <w:t>1</w:t>
      </w:r>
      <w:r>
        <w:rPr>
          <w:rFonts w:ascii="Times New Roman" w:hAnsi="Times New Roman"/>
          <w:color w:val="auto"/>
          <w:sz w:val="24"/>
          <w:szCs w:val="24"/>
          <w:highlight w:val="none"/>
        </w:rPr>
        <w:t>.1</w:t>
      </w:r>
      <w:r>
        <w:rPr>
          <w:rFonts w:hint="eastAsia" w:hAnsi="宋体"/>
          <w:color w:val="auto"/>
          <w:sz w:val="24"/>
          <w:highlight w:val="none"/>
        </w:rPr>
        <w:t>采购方不统一组织投标方前往项目实施场地踏勘，根据项目实际投标需求，投标方可自行前往项目实施场地进行现场探勘，以获取编制投标文件所需资料，如投标方因未现场踏勘原因导致投标文件出现错误或遗漏的，由投标方自行承担责任</w:t>
      </w:r>
      <w:r>
        <w:rPr>
          <w:rFonts w:ascii="Times New Roman" w:hAnsi="宋体"/>
          <w:color w:val="auto"/>
          <w:sz w:val="24"/>
          <w:szCs w:val="24"/>
          <w:highlight w:val="none"/>
        </w:rPr>
        <w:t>。</w:t>
      </w:r>
    </w:p>
    <w:p w14:paraId="0A2EE25F">
      <w:pPr>
        <w:pStyle w:val="8"/>
        <w:spacing w:line="460" w:lineRule="exact"/>
        <w:ind w:firstLine="480"/>
        <w:rPr>
          <w:rFonts w:ascii="Times New Roman" w:hAnsi="Times New Roman"/>
          <w:color w:val="auto"/>
          <w:sz w:val="24"/>
          <w:szCs w:val="24"/>
          <w:highlight w:val="none"/>
        </w:rPr>
      </w:pPr>
      <w:r>
        <w:rPr>
          <w:rFonts w:hint="eastAsia" w:ascii="Times New Roman" w:hAnsi="Times New Roman"/>
          <w:color w:val="auto"/>
          <w:sz w:val="24"/>
          <w:szCs w:val="24"/>
          <w:highlight w:val="none"/>
          <w:lang w:val="en-US" w:eastAsia="zh-CN"/>
        </w:rPr>
        <w:t>1</w:t>
      </w:r>
      <w:r>
        <w:rPr>
          <w:rFonts w:ascii="Times New Roman" w:hAnsi="Times New Roman"/>
          <w:color w:val="auto"/>
          <w:sz w:val="24"/>
          <w:szCs w:val="24"/>
          <w:highlight w:val="none"/>
        </w:rPr>
        <w:t>.2投标单位在考察过程中发生的各类事件及所发生的各项费用，均由投标单位</w:t>
      </w:r>
      <w:r>
        <w:rPr>
          <w:rFonts w:ascii="Times New Roman" w:hAnsi="宋体"/>
          <w:color w:val="auto"/>
          <w:sz w:val="24"/>
          <w:szCs w:val="24"/>
          <w:highlight w:val="none"/>
        </w:rPr>
        <w:t>自行承担。采购人概不负责。</w:t>
      </w:r>
    </w:p>
    <w:p w14:paraId="1678673B">
      <w:pPr>
        <w:pStyle w:val="8"/>
        <w:adjustRightInd w:val="0"/>
        <w:snapToGrid w:val="0"/>
        <w:spacing w:line="460" w:lineRule="exact"/>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lang w:val="en-US" w:eastAsia="zh-CN"/>
        </w:rPr>
        <w:t>1</w:t>
      </w:r>
      <w:r>
        <w:rPr>
          <w:rFonts w:ascii="Times New Roman" w:hAnsi="Times New Roman"/>
          <w:color w:val="auto"/>
          <w:sz w:val="24"/>
          <w:szCs w:val="24"/>
          <w:highlight w:val="none"/>
        </w:rPr>
        <w:t>.3</w:t>
      </w:r>
      <w:r>
        <w:rPr>
          <w:rFonts w:ascii="Times New Roman" w:hAnsi="宋体"/>
          <w:color w:val="auto"/>
          <w:sz w:val="24"/>
          <w:szCs w:val="24"/>
          <w:highlight w:val="none"/>
        </w:rPr>
        <w:t>采购人向投标单位提供的有关现场的数据和资料，是采购人现有的能被投标人利用的资料，采购人对投标人据此做出的任何推论、理解和结论不负责任。</w:t>
      </w:r>
    </w:p>
    <w:p w14:paraId="3B2DC461">
      <w:pPr>
        <w:adjustRightInd w:val="0"/>
        <w:snapToGrid w:val="0"/>
        <w:spacing w:line="460" w:lineRule="exact"/>
        <w:ind w:firstLine="480" w:firstLineChars="200"/>
        <w:rPr>
          <w:rFonts w:hAnsi="宋体"/>
          <w:color w:val="auto"/>
          <w:sz w:val="24"/>
          <w:highlight w:val="none"/>
        </w:rPr>
      </w:pPr>
      <w:r>
        <w:rPr>
          <w:rFonts w:hint="eastAsia"/>
          <w:color w:val="auto"/>
          <w:sz w:val="24"/>
          <w:highlight w:val="none"/>
          <w:lang w:val="en-US" w:eastAsia="zh-CN"/>
        </w:rPr>
        <w:t>1</w:t>
      </w:r>
      <w:r>
        <w:rPr>
          <w:color w:val="auto"/>
          <w:sz w:val="24"/>
          <w:highlight w:val="none"/>
        </w:rPr>
        <w:t>.4</w:t>
      </w:r>
      <w:r>
        <w:rPr>
          <w:rFonts w:hAnsi="宋体"/>
          <w:color w:val="auto"/>
          <w:sz w:val="24"/>
          <w:highlight w:val="none"/>
        </w:rPr>
        <w:t>现场踏勘完毕，将认为投标人己了解现场情况，并充分理解了为之所承担的风险、义务和责任。</w:t>
      </w:r>
    </w:p>
    <w:p w14:paraId="3B709F56">
      <w:pPr>
        <w:widowControl/>
        <w:tabs>
          <w:tab w:val="left" w:pos="789"/>
        </w:tabs>
        <w:spacing w:line="360" w:lineRule="exact"/>
        <w:ind w:firstLine="241" w:firstLineChars="100"/>
        <w:jc w:val="left"/>
        <w:rPr>
          <w:rFonts w:hint="eastAsia" w:ascii="宋体" w:hAnsi="宋体"/>
          <w:b/>
          <w:bCs/>
          <w:color w:val="auto"/>
          <w:kern w:val="0"/>
          <w:sz w:val="24"/>
          <w:highlight w:val="none"/>
          <w:lang w:val="en-US" w:eastAsia="zh-CN"/>
        </w:rPr>
      </w:pPr>
      <w:r>
        <w:rPr>
          <w:rFonts w:hint="eastAsia" w:ascii="宋体" w:hAnsi="宋体"/>
          <w:b/>
          <w:bCs/>
          <w:color w:val="auto"/>
          <w:kern w:val="0"/>
          <w:sz w:val="24"/>
          <w:highlight w:val="none"/>
          <w:lang w:val="en-US" w:eastAsia="zh-CN"/>
        </w:rPr>
        <w:t>2.服务内容</w:t>
      </w:r>
    </w:p>
    <w:p w14:paraId="5A8239F2">
      <w:pPr>
        <w:widowControl/>
        <w:numPr>
          <w:ilvl w:val="0"/>
          <w:numId w:val="0"/>
        </w:numPr>
        <w:tabs>
          <w:tab w:val="left" w:pos="789"/>
        </w:tabs>
        <w:spacing w:line="360" w:lineRule="exact"/>
        <w:ind w:leftChars="200"/>
        <w:jc w:val="left"/>
        <w:rPr>
          <w:rFonts w:hint="eastAsia" w:ascii="Times New Roman" w:hAnsi="Times New Roman" w:eastAsia="宋体" w:cs="Courier New"/>
          <w:color w:val="auto"/>
          <w:kern w:val="2"/>
          <w:sz w:val="24"/>
          <w:szCs w:val="24"/>
          <w:highlight w:val="none"/>
          <w:lang w:val="en-US" w:eastAsia="zh-CN" w:bidi="ar-SA"/>
        </w:rPr>
      </w:pPr>
      <w:r>
        <w:rPr>
          <w:rFonts w:hint="eastAsia"/>
          <w:color w:val="auto"/>
          <w:sz w:val="24"/>
          <w:highlight w:val="none"/>
          <w:lang w:val="en-US" w:eastAsia="zh-CN"/>
        </w:rPr>
        <w:t>2.1项目概况</w:t>
      </w:r>
      <w:r>
        <w:rPr>
          <w:rFonts w:hint="eastAsia" w:ascii="Times New Roman" w:hAnsi="Times New Roman" w:eastAsia="宋体" w:cs="Courier New"/>
          <w:color w:val="auto"/>
          <w:kern w:val="2"/>
          <w:sz w:val="24"/>
          <w:szCs w:val="24"/>
          <w:highlight w:val="none"/>
          <w:lang w:val="en-US" w:eastAsia="zh-CN" w:bidi="ar-SA"/>
        </w:rPr>
        <w:br w:type="textWrapping"/>
      </w:r>
      <w:r>
        <w:rPr>
          <w:rFonts w:hint="eastAsia" w:ascii="Times New Roman" w:hAnsi="Times New Roman" w:eastAsia="宋体" w:cs="Courier New"/>
          <w:color w:val="auto"/>
          <w:kern w:val="2"/>
          <w:sz w:val="24"/>
          <w:szCs w:val="24"/>
          <w:highlight w:val="none"/>
          <w:lang w:val="en-US" w:eastAsia="zh-CN" w:bidi="ar-SA"/>
        </w:rPr>
        <w:t>为解决过往工程建设管理短板，提升项目建设质效、严控投资成本、规范建设流程，需采购一家全过程代建服务单位，实行项目前期筹备、建设实施、竣工验收、移交归档等全流程集中建设管理模式。</w:t>
      </w:r>
    </w:p>
    <w:p w14:paraId="763E2D55">
      <w:pPr>
        <w:numPr>
          <w:ilvl w:val="0"/>
          <w:numId w:val="0"/>
        </w:numPr>
        <w:adjustRightInd w:val="0"/>
        <w:snapToGrid w:val="0"/>
        <w:spacing w:line="460" w:lineRule="exact"/>
        <w:ind w:leftChars="200"/>
        <w:rPr>
          <w:rFonts w:hint="default" w:ascii="Times New Roman" w:hAnsi="Times New Roman" w:eastAsia="宋体" w:cs="Courier New"/>
          <w:color w:val="auto"/>
          <w:kern w:val="2"/>
          <w:sz w:val="24"/>
          <w:szCs w:val="24"/>
          <w:highlight w:val="none"/>
          <w:lang w:val="en-US" w:eastAsia="zh-CN" w:bidi="ar-SA"/>
        </w:rPr>
      </w:pPr>
      <w:r>
        <w:rPr>
          <w:rFonts w:hint="eastAsia" w:ascii="Times New Roman" w:hAnsi="Times New Roman" w:cs="Courier New"/>
          <w:color w:val="auto"/>
          <w:kern w:val="2"/>
          <w:sz w:val="24"/>
          <w:szCs w:val="24"/>
          <w:highlight w:val="none"/>
          <w:lang w:val="en-US" w:eastAsia="zh-CN" w:bidi="ar-SA"/>
        </w:rPr>
        <w:t>2.2</w:t>
      </w:r>
      <w:r>
        <w:rPr>
          <w:rFonts w:hint="eastAsia" w:ascii="Times New Roman" w:hAnsi="Times New Roman" w:eastAsia="宋体" w:cs="Courier New"/>
          <w:color w:val="auto"/>
          <w:kern w:val="2"/>
          <w:sz w:val="24"/>
          <w:szCs w:val="24"/>
          <w:highlight w:val="none"/>
          <w:lang w:val="en-US" w:eastAsia="zh-CN" w:bidi="ar-SA"/>
        </w:rPr>
        <w:t>服务内容</w:t>
      </w:r>
      <w:r>
        <w:rPr>
          <w:rFonts w:hint="eastAsia" w:ascii="Times New Roman" w:hAnsi="Times New Roman" w:eastAsia="宋体" w:cs="Courier New"/>
          <w:color w:val="auto"/>
          <w:kern w:val="2"/>
          <w:sz w:val="24"/>
          <w:szCs w:val="24"/>
          <w:highlight w:val="none"/>
          <w:lang w:val="en-US" w:eastAsia="zh-CN" w:bidi="ar-SA"/>
        </w:rPr>
        <w:br w:type="textWrapping"/>
      </w:r>
      <w:r>
        <w:rPr>
          <w:rFonts w:hint="eastAsia" w:ascii="Times New Roman" w:hAnsi="Times New Roman" w:eastAsia="宋体" w:cs="Courier New"/>
          <w:color w:val="auto"/>
          <w:kern w:val="2"/>
          <w:sz w:val="24"/>
          <w:szCs w:val="24"/>
          <w:highlight w:val="none"/>
          <w:lang w:val="en-US" w:eastAsia="zh-CN" w:bidi="ar-SA"/>
        </w:rPr>
        <w:t>根据甲方批准的建设计划，乙方组织项目前期工作，包括组织方案设计及施工图设计和优化，组织审核项目预算（施工图预算）编制工作，组织项目服务、施工、主要材料设备采购等招标活动，并签订合同，组织项目施工。</w:t>
      </w:r>
    </w:p>
    <w:p w14:paraId="41B90244">
      <w:pPr>
        <w:numPr>
          <w:ilvl w:val="0"/>
          <w:numId w:val="0"/>
        </w:numPr>
        <w:adjustRightInd w:val="0"/>
        <w:snapToGrid w:val="0"/>
        <w:spacing w:line="460" w:lineRule="exact"/>
        <w:ind w:leftChars="200"/>
        <w:rPr>
          <w:rFonts w:hint="default" w:ascii="Times New Roman" w:hAnsi="Times New Roman" w:eastAsia="宋体" w:cs="Courier New"/>
          <w:color w:val="auto"/>
          <w:kern w:val="2"/>
          <w:sz w:val="24"/>
          <w:szCs w:val="24"/>
          <w:highlight w:val="none"/>
          <w:lang w:val="en-US" w:eastAsia="zh-CN" w:bidi="ar-SA"/>
        </w:rPr>
      </w:pPr>
      <w:r>
        <w:rPr>
          <w:rFonts w:hint="eastAsia" w:ascii="Times New Roman" w:hAnsi="Times New Roman" w:cs="Courier New"/>
          <w:color w:val="auto"/>
          <w:kern w:val="2"/>
          <w:sz w:val="24"/>
          <w:szCs w:val="24"/>
          <w:highlight w:val="none"/>
          <w:lang w:val="en-US" w:eastAsia="zh-CN" w:bidi="ar-SA"/>
        </w:rPr>
        <w:t>2.3</w:t>
      </w:r>
      <w:r>
        <w:rPr>
          <w:rFonts w:hint="eastAsia" w:ascii="Times New Roman" w:hAnsi="Times New Roman" w:eastAsia="宋体" w:cs="Courier New"/>
          <w:color w:val="auto"/>
          <w:kern w:val="2"/>
          <w:sz w:val="24"/>
          <w:szCs w:val="24"/>
          <w:highlight w:val="none"/>
          <w:lang w:val="en-US" w:eastAsia="zh-CN" w:bidi="ar-SA"/>
        </w:rPr>
        <w:t>服务范围</w:t>
      </w:r>
    </w:p>
    <w:p w14:paraId="4DDBE28A">
      <w:pPr>
        <w:numPr>
          <w:ilvl w:val="0"/>
          <w:numId w:val="4"/>
        </w:numPr>
        <w:adjustRightInd w:val="0"/>
        <w:snapToGrid w:val="0"/>
        <w:spacing w:line="460" w:lineRule="exact"/>
        <w:ind w:leftChars="200"/>
        <w:rPr>
          <w:rFonts w:hint="eastAsia" w:ascii="Times New Roman" w:hAnsi="Times New Roman" w:eastAsia="宋体" w:cs="Courier New"/>
          <w:color w:val="auto"/>
          <w:kern w:val="2"/>
          <w:sz w:val="24"/>
          <w:szCs w:val="24"/>
          <w:highlight w:val="none"/>
          <w:lang w:val="en-US" w:eastAsia="zh-CN" w:bidi="ar-SA"/>
        </w:rPr>
      </w:pPr>
      <w:r>
        <w:rPr>
          <w:rFonts w:hint="eastAsia" w:ascii="Times New Roman" w:hAnsi="Times New Roman" w:eastAsia="宋体" w:cs="Courier New"/>
          <w:color w:val="auto"/>
          <w:kern w:val="2"/>
          <w:sz w:val="24"/>
          <w:szCs w:val="24"/>
          <w:highlight w:val="none"/>
          <w:lang w:val="en-US" w:eastAsia="zh-CN" w:bidi="ar-SA"/>
        </w:rPr>
        <w:t>组织投资估算在500万元以下工程项目的工程设计服务单位招选、监管工作。</w:t>
      </w:r>
    </w:p>
    <w:p w14:paraId="36864B72">
      <w:pPr>
        <w:numPr>
          <w:ilvl w:val="0"/>
          <w:numId w:val="4"/>
        </w:numPr>
        <w:adjustRightInd w:val="0"/>
        <w:snapToGrid w:val="0"/>
        <w:spacing w:line="460" w:lineRule="exact"/>
        <w:ind w:leftChars="200"/>
        <w:rPr>
          <w:rFonts w:hint="eastAsia" w:ascii="Times New Roman" w:hAnsi="Times New Roman" w:eastAsia="宋体" w:cs="Courier New"/>
          <w:color w:val="auto"/>
          <w:kern w:val="2"/>
          <w:sz w:val="24"/>
          <w:szCs w:val="24"/>
          <w:highlight w:val="none"/>
          <w:lang w:val="en-US" w:eastAsia="zh-CN" w:bidi="ar-SA"/>
        </w:rPr>
      </w:pPr>
      <w:r>
        <w:rPr>
          <w:rFonts w:hint="eastAsia" w:ascii="Times New Roman" w:hAnsi="Times New Roman" w:eastAsia="宋体" w:cs="Courier New"/>
          <w:color w:val="auto"/>
          <w:kern w:val="2"/>
          <w:sz w:val="24"/>
          <w:szCs w:val="24"/>
          <w:highlight w:val="none"/>
          <w:lang w:val="en-US" w:eastAsia="zh-CN" w:bidi="ar-SA"/>
        </w:rPr>
        <w:t>组织投资估算在500万元以下工程项目的工程监理服务单位招选、监管工作。</w:t>
      </w:r>
    </w:p>
    <w:p w14:paraId="46874A8A">
      <w:pPr>
        <w:numPr>
          <w:ilvl w:val="0"/>
          <w:numId w:val="4"/>
        </w:numPr>
        <w:adjustRightInd w:val="0"/>
        <w:snapToGrid w:val="0"/>
        <w:spacing w:line="460" w:lineRule="exact"/>
        <w:ind w:leftChars="200"/>
        <w:rPr>
          <w:rFonts w:hint="eastAsia" w:ascii="Times New Roman" w:hAnsi="Times New Roman" w:eastAsia="宋体" w:cs="Courier New"/>
          <w:color w:val="auto"/>
          <w:kern w:val="2"/>
          <w:sz w:val="24"/>
          <w:szCs w:val="24"/>
          <w:highlight w:val="none"/>
          <w:lang w:val="en-US" w:eastAsia="zh-CN" w:bidi="ar-SA"/>
        </w:rPr>
      </w:pPr>
      <w:r>
        <w:rPr>
          <w:rFonts w:hint="eastAsia" w:ascii="Times New Roman" w:hAnsi="Times New Roman" w:eastAsia="宋体" w:cs="Courier New"/>
          <w:color w:val="auto"/>
          <w:kern w:val="2"/>
          <w:sz w:val="24"/>
          <w:szCs w:val="24"/>
          <w:highlight w:val="none"/>
          <w:lang w:val="en-US" w:eastAsia="zh-CN" w:bidi="ar-SA"/>
        </w:rPr>
        <w:t>组织单个项目投资估算20万元（不含） 以内零星工程施工单位招选、监管工作；服务期限2年或累计委托零星工程总量达到400万元（含）的限额。</w:t>
      </w:r>
    </w:p>
    <w:p w14:paraId="663850C7">
      <w:pPr>
        <w:pStyle w:val="4"/>
        <w:snapToGrid w:val="0"/>
        <w:spacing w:line="420" w:lineRule="exact"/>
        <w:ind w:firstLine="482" w:firstLineChars="200"/>
        <w:rPr>
          <w:rFonts w:hint="eastAsia" w:ascii="宋体" w:hAnsi="宋体"/>
          <w:b/>
          <w:color w:val="auto"/>
          <w:kern w:val="0"/>
          <w:sz w:val="24"/>
          <w:highlight w:val="none"/>
          <w:lang w:val="en-US" w:eastAsia="zh-CN"/>
        </w:rPr>
      </w:pPr>
      <w:r>
        <w:rPr>
          <w:rFonts w:hint="eastAsia" w:ascii="宋体" w:hAnsi="宋体"/>
          <w:b/>
          <w:color w:val="auto"/>
          <w:kern w:val="0"/>
          <w:sz w:val="24"/>
          <w:highlight w:val="none"/>
          <w:lang w:val="en-US" w:eastAsia="zh-CN"/>
        </w:rPr>
        <w:t>二、服务要求</w:t>
      </w:r>
    </w:p>
    <w:p w14:paraId="142752E7">
      <w:pPr>
        <w:pStyle w:val="7"/>
        <w:spacing w:before="7" w:line="333" w:lineRule="auto"/>
        <w:ind w:left="62" w:right="14" w:firstLine="672"/>
        <w:rPr>
          <w:rFonts w:hint="default" w:eastAsia="宋体"/>
          <w:spacing w:val="9"/>
          <w:lang w:val="en-US" w:eastAsia="zh-CN"/>
        </w:rPr>
      </w:pPr>
      <w:r>
        <w:rPr>
          <w:rFonts w:hint="eastAsia"/>
          <w:spacing w:val="9"/>
          <w:lang w:val="en-US" w:eastAsia="zh-CN"/>
        </w:rPr>
        <w:t>1.总体要求</w:t>
      </w:r>
    </w:p>
    <w:p w14:paraId="69494419">
      <w:pPr>
        <w:pStyle w:val="7"/>
        <w:spacing w:before="7" w:line="333" w:lineRule="auto"/>
        <w:ind w:left="62" w:right="14" w:firstLine="672"/>
        <w:rPr>
          <w:spacing w:val="10"/>
        </w:rPr>
      </w:pPr>
      <w:r>
        <w:rPr>
          <w:rFonts w:hint="eastAsia"/>
          <w:spacing w:val="9"/>
          <w:lang w:val="en-US" w:eastAsia="zh-CN"/>
        </w:rPr>
        <w:t>1.1</w:t>
      </w:r>
      <w:r>
        <w:rPr>
          <w:spacing w:val="9"/>
        </w:rPr>
        <w:t>根据甲方批准的建设计划，乙方组织项目前期工作，</w:t>
      </w:r>
      <w:r>
        <w:rPr>
          <w:spacing w:val="13"/>
        </w:rPr>
        <w:t>包括组织方案设计及施工图设计和优化，组织审核项</w:t>
      </w:r>
      <w:r>
        <w:rPr>
          <w:spacing w:val="12"/>
        </w:rPr>
        <w:t>目预</w:t>
      </w:r>
      <w:r>
        <w:rPr>
          <w:spacing w:val="10"/>
        </w:rPr>
        <w:t>算</w:t>
      </w:r>
      <w:r>
        <w:rPr>
          <w:rFonts w:hint="eastAsia"/>
          <w:spacing w:val="10"/>
          <w:lang w:eastAsia="zh-CN"/>
        </w:rPr>
        <w:t>（</w:t>
      </w:r>
      <w:r>
        <w:rPr>
          <w:spacing w:val="-83"/>
        </w:rPr>
        <w:t xml:space="preserve"> </w:t>
      </w:r>
      <w:r>
        <w:rPr>
          <w:rFonts w:hint="eastAsia"/>
          <w:spacing w:val="-83"/>
          <w:lang w:eastAsia="zh-CN"/>
        </w:rPr>
        <w:t>（</w:t>
      </w:r>
      <w:r>
        <w:rPr>
          <w:spacing w:val="10"/>
        </w:rPr>
        <w:t>施工图预算</w:t>
      </w:r>
      <w:r>
        <w:rPr>
          <w:rFonts w:hint="eastAsia"/>
          <w:spacing w:val="10"/>
          <w:lang w:eastAsia="zh-CN"/>
        </w:rPr>
        <w:t>）</w:t>
      </w:r>
      <w:r>
        <w:rPr>
          <w:spacing w:val="10"/>
        </w:rPr>
        <w:t>编制工作，组织项目服务、施工</w:t>
      </w:r>
      <w:r>
        <w:rPr>
          <w:spacing w:val="9"/>
        </w:rPr>
        <w:t>、主要材</w:t>
      </w:r>
      <w:r>
        <w:rPr>
          <w:spacing w:val="13"/>
        </w:rPr>
        <w:t>料设备采购等招标活动，并签订合同，组织项目施工</w:t>
      </w:r>
      <w:r>
        <w:rPr>
          <w:spacing w:val="12"/>
        </w:rPr>
        <w:t>，负</w:t>
      </w:r>
      <w:r>
        <w:rPr>
          <w:spacing w:val="13"/>
        </w:rPr>
        <w:t>责办理项目施工中出现的设计变更等手续，组织项目</w:t>
      </w:r>
      <w:r>
        <w:rPr>
          <w:spacing w:val="12"/>
        </w:rPr>
        <w:t>竣工</w:t>
      </w:r>
      <w:r>
        <w:rPr>
          <w:spacing w:val="13"/>
        </w:rPr>
        <w:t>验收，组织项目竣工结算，负责将项目竣工及有关项</w:t>
      </w:r>
      <w:r>
        <w:rPr>
          <w:spacing w:val="12"/>
        </w:rPr>
        <w:t>目建</w:t>
      </w:r>
      <w:r>
        <w:rPr>
          <w:spacing w:val="14"/>
        </w:rPr>
        <w:t>设的技术资料完整地整理汇编移交，在工程质量保修期内，</w:t>
      </w:r>
      <w:r>
        <w:rPr>
          <w:spacing w:val="10"/>
        </w:rPr>
        <w:t>负责承担相应的义务和责任。</w:t>
      </w:r>
    </w:p>
    <w:p w14:paraId="0EF64B87">
      <w:pPr>
        <w:pStyle w:val="7"/>
        <w:spacing w:before="7" w:line="333" w:lineRule="auto"/>
        <w:ind w:left="62" w:right="14" w:firstLine="672"/>
      </w:pPr>
      <w:r>
        <w:rPr>
          <w:rFonts w:hint="eastAsia"/>
          <w:spacing w:val="10"/>
          <w:lang w:val="en-US" w:eastAsia="zh-CN"/>
        </w:rPr>
        <w:t>1.2</w:t>
      </w:r>
      <w:r>
        <w:rPr>
          <w:spacing w:val="8"/>
        </w:rPr>
        <w:t>由代建单位实施统一管理，涵盖工程服</w:t>
      </w:r>
      <w:r>
        <w:rPr>
          <w:spacing w:val="7"/>
        </w:rPr>
        <w:t>务单位招选、</w:t>
      </w:r>
      <w:r>
        <w:rPr>
          <w:spacing w:val="4"/>
        </w:rPr>
        <w:t>监管工作。</w:t>
      </w:r>
    </w:p>
    <w:p w14:paraId="117408B2">
      <w:pPr>
        <w:pStyle w:val="7"/>
        <w:spacing w:before="2" w:line="330" w:lineRule="auto"/>
        <w:ind w:left="69" w:right="388" w:firstLine="648"/>
        <w:rPr>
          <w:position w:val="2"/>
        </w:rPr>
      </w:pPr>
      <w:r>
        <w:rPr>
          <w:rFonts w:hint="eastAsia"/>
          <w:spacing w:val="7"/>
          <w:lang w:val="en-US" w:eastAsia="zh-CN"/>
        </w:rPr>
        <w:t>1.3</w:t>
      </w:r>
      <w:r>
        <w:rPr>
          <w:spacing w:val="7"/>
        </w:rPr>
        <w:t>代建服务年限为两年或累计委托管理的零星工程总</w:t>
      </w:r>
      <w:r>
        <w:t>量达到400万元</w:t>
      </w:r>
      <w:r>
        <w:rPr>
          <w:rFonts w:hint="eastAsia"/>
          <w:lang w:eastAsia="zh-CN"/>
        </w:rPr>
        <w:t>（</w:t>
      </w:r>
      <w:r>
        <w:rPr>
          <w:rFonts w:hint="eastAsia"/>
          <w:lang w:val="en-US" w:eastAsia="zh-CN"/>
        </w:rPr>
        <w:t>含</w:t>
      </w:r>
      <w:r>
        <w:rPr>
          <w:rFonts w:hint="eastAsia"/>
          <w:lang w:eastAsia="zh-CN"/>
        </w:rPr>
        <w:t>）</w:t>
      </w:r>
      <w:r>
        <w:t>的限额</w:t>
      </w:r>
      <w:r>
        <w:rPr>
          <w:position w:val="2"/>
        </w:rPr>
        <w:t>；</w:t>
      </w:r>
    </w:p>
    <w:p w14:paraId="1A4FDC4D">
      <w:pPr>
        <w:pStyle w:val="7"/>
        <w:spacing w:before="2" w:line="330" w:lineRule="auto"/>
        <w:ind w:left="69" w:right="388" w:firstLine="648"/>
        <w:rPr>
          <w:spacing w:val="11"/>
        </w:rPr>
      </w:pPr>
      <w:r>
        <w:rPr>
          <w:rFonts w:hint="eastAsia"/>
          <w:spacing w:val="11"/>
          <w:lang w:val="en-US" w:eastAsia="zh-CN"/>
        </w:rPr>
        <w:t>1.4</w:t>
      </w:r>
      <w:r>
        <w:rPr>
          <w:spacing w:val="11"/>
        </w:rPr>
        <w:t>代建服务费用计取参照财建[</w:t>
      </w:r>
      <w:r>
        <w:fldChar w:fldCharType="begin"/>
      </w:r>
      <w:r>
        <w:instrText xml:space="preserve"> HYPERLINK \l "bookmark6" </w:instrText>
      </w:r>
      <w:r>
        <w:fldChar w:fldCharType="separate"/>
      </w:r>
      <w:r>
        <w:rPr>
          <w:spacing w:val="11"/>
        </w:rPr>
        <w:t>2016</w:t>
      </w:r>
      <w:r>
        <w:rPr>
          <w:spacing w:val="11"/>
        </w:rPr>
        <w:fldChar w:fldCharType="end"/>
      </w:r>
      <w:r>
        <w:rPr>
          <w:spacing w:val="11"/>
        </w:rPr>
        <w:t>]504号财政部关</w:t>
      </w:r>
      <w:r>
        <w:rPr>
          <w:spacing w:val="13"/>
        </w:rPr>
        <w:t>于印发《基本建设项目建设成本管理规定》的通</w:t>
      </w:r>
      <w:r>
        <w:rPr>
          <w:spacing w:val="12"/>
        </w:rPr>
        <w:t>知附件计</w:t>
      </w:r>
      <w:r>
        <w:rPr>
          <w:spacing w:val="11"/>
        </w:rPr>
        <w:t>取方式结合投标让利率进行计取。</w:t>
      </w:r>
    </w:p>
    <w:p w14:paraId="73D3E2C1">
      <w:pPr>
        <w:pStyle w:val="7"/>
        <w:spacing w:before="2" w:line="330" w:lineRule="auto"/>
        <w:ind w:left="69" w:right="388" w:firstLine="648"/>
        <w:rPr>
          <w:rFonts w:hint="eastAsia"/>
          <w:spacing w:val="11"/>
          <w:lang w:val="en-US" w:eastAsia="zh-CN"/>
        </w:rPr>
      </w:pPr>
      <w:r>
        <w:rPr>
          <w:rFonts w:hint="eastAsia"/>
          <w:spacing w:val="11"/>
          <w:lang w:val="en-US" w:eastAsia="zh-CN"/>
        </w:rPr>
        <w:t>1.5</w:t>
      </w:r>
      <w:r>
        <w:rPr>
          <w:rFonts w:hint="eastAsia"/>
        </w:rPr>
        <w:t>工程</w:t>
      </w:r>
      <w:r>
        <w:rPr>
          <w:rFonts w:hint="eastAsia"/>
          <w:lang w:val="en-US" w:eastAsia="zh-CN"/>
        </w:rPr>
        <w:t>施工</w:t>
      </w:r>
      <w:r>
        <w:rPr>
          <w:rFonts w:hint="eastAsia"/>
        </w:rPr>
        <w:t>费</w:t>
      </w:r>
      <w:r>
        <w:rPr>
          <w:rFonts w:hint="eastAsia"/>
          <w:lang w:val="en-US" w:eastAsia="zh-CN"/>
        </w:rPr>
        <w:t>用计取参照</w:t>
      </w:r>
      <w:r>
        <w:rPr>
          <w:rFonts w:hint="eastAsia" w:ascii="宋体" w:hAnsi="宋体" w:cs="宋体"/>
          <w:b/>
          <w:bCs/>
          <w:color w:val="auto"/>
          <w:sz w:val="21"/>
          <w:szCs w:val="21"/>
          <w:highlight w:val="none"/>
        </w:rPr>
        <w:t>最新版计价依据、计价文件计算工程量和套用定额</w:t>
      </w:r>
      <w:r>
        <w:rPr>
          <w:spacing w:val="11"/>
        </w:rPr>
        <w:t>结合投标让利率进行计取</w:t>
      </w:r>
      <w:r>
        <w:rPr>
          <w:rFonts w:hint="eastAsia"/>
          <w:lang w:eastAsia="zh-CN"/>
        </w:rPr>
        <w:t>。</w:t>
      </w:r>
      <w:r>
        <w:rPr>
          <w:rFonts w:hint="eastAsia" w:ascii="宋体" w:hAnsi="宋体" w:cs="宋体"/>
          <w:b/>
          <w:bCs/>
          <w:color w:val="auto"/>
          <w:sz w:val="21"/>
          <w:szCs w:val="21"/>
          <w:highlight w:val="none"/>
        </w:rPr>
        <w:t>包括</w:t>
      </w:r>
      <w:r>
        <w:rPr>
          <w:rFonts w:hint="eastAsia" w:ascii="宋体" w:hAnsi="宋体" w:cs="宋体"/>
          <w:b/>
          <w:bCs/>
          <w:color w:val="auto"/>
          <w:sz w:val="21"/>
          <w:szCs w:val="21"/>
          <w:highlight w:val="none"/>
          <w:lang w:val="en-US" w:eastAsia="zh-CN"/>
        </w:rPr>
        <w:t>但不限于</w:t>
      </w:r>
      <w:r>
        <w:rPr>
          <w:rFonts w:hint="eastAsia" w:ascii="宋体" w:hAnsi="宋体" w:cs="宋体"/>
          <w:b/>
          <w:bCs/>
          <w:color w:val="auto"/>
          <w:sz w:val="21"/>
          <w:szCs w:val="21"/>
          <w:highlight w:val="none"/>
        </w:rPr>
        <w:t>：《浙江省房屋建筑与装饰工程预算定额（2018版）</w:t>
      </w:r>
      <w:r>
        <w:rPr>
          <w:rFonts w:hint="eastAsia" w:hAnsi="宋体" w:cs="宋体"/>
          <w:b/>
          <w:bCs/>
          <w:color w:val="auto"/>
          <w:sz w:val="21"/>
          <w:szCs w:val="21"/>
          <w:highlight w:val="none"/>
          <w:lang w:eastAsia="zh-CN"/>
        </w:rPr>
        <w:t>》《</w:t>
      </w:r>
      <w:r>
        <w:rPr>
          <w:rFonts w:hint="eastAsia" w:ascii="宋体" w:hAnsi="宋体" w:cs="宋体"/>
          <w:b/>
          <w:bCs/>
          <w:color w:val="auto"/>
          <w:sz w:val="21"/>
          <w:szCs w:val="21"/>
          <w:highlight w:val="none"/>
        </w:rPr>
        <w:t>浙江省通用安装工程预算定额（2018版）》、 《浙江省建设工程计价规则（2018版）》及省、市有关造价文件补充规定</w:t>
      </w:r>
      <w:r>
        <w:rPr>
          <w:rFonts w:hint="eastAsia" w:ascii="宋体" w:hAnsi="宋体" w:cs="宋体"/>
          <w:b/>
          <w:bCs/>
          <w:color w:val="auto"/>
          <w:sz w:val="21"/>
          <w:szCs w:val="21"/>
          <w:highlight w:val="none"/>
          <w:lang w:eastAsia="zh-CN"/>
        </w:rPr>
        <w:t>。</w:t>
      </w:r>
      <w:r>
        <w:rPr>
          <w:spacing w:val="11"/>
        </w:rPr>
        <w:t>让利率</w:t>
      </w:r>
      <w:r>
        <w:rPr>
          <w:rFonts w:hint="eastAsia"/>
          <w:spacing w:val="11"/>
          <w:lang w:val="en-US" w:eastAsia="zh-CN"/>
        </w:rPr>
        <w:t>不低于10%。</w:t>
      </w:r>
    </w:p>
    <w:p w14:paraId="63256E18">
      <w:pPr>
        <w:pStyle w:val="7"/>
        <w:spacing w:before="2" w:line="330" w:lineRule="auto"/>
        <w:ind w:left="69" w:right="388" w:firstLine="648"/>
        <w:rPr>
          <w:rFonts w:hint="default"/>
          <w:spacing w:val="11"/>
          <w:lang w:val="en-US" w:eastAsia="zh-CN"/>
        </w:rPr>
      </w:pPr>
      <w:r>
        <w:rPr>
          <w:rFonts w:hint="eastAsia"/>
          <w:spacing w:val="11"/>
          <w:lang w:val="en-US" w:eastAsia="zh-CN"/>
        </w:rPr>
        <w:t>2.服务能力要求</w:t>
      </w:r>
    </w:p>
    <w:p w14:paraId="2214169E">
      <w:pPr>
        <w:pStyle w:val="7"/>
        <w:spacing w:before="2" w:line="330" w:lineRule="auto"/>
        <w:ind w:left="69" w:right="388" w:firstLine="648"/>
        <w:rPr>
          <w:rFonts w:hint="default"/>
          <w:spacing w:val="11"/>
          <w:lang w:val="en-US" w:eastAsia="zh-CN"/>
        </w:rPr>
      </w:pPr>
      <w:r>
        <w:rPr>
          <w:rFonts w:hint="eastAsia"/>
          <w:spacing w:val="11"/>
          <w:lang w:val="en-US" w:eastAsia="zh-CN"/>
        </w:rPr>
        <w:t>2.1投标人</w:t>
      </w:r>
      <w:r>
        <w:rPr>
          <w:rFonts w:hint="default"/>
          <w:spacing w:val="11"/>
          <w:lang w:val="en-US" w:eastAsia="zh-CN"/>
        </w:rPr>
        <w:t>具备工程</w:t>
      </w:r>
      <w:r>
        <w:rPr>
          <w:rFonts w:hint="eastAsia"/>
          <w:spacing w:val="11"/>
          <w:lang w:val="en-US" w:eastAsia="zh-CN"/>
        </w:rPr>
        <w:t>及</w:t>
      </w:r>
      <w:r>
        <w:rPr>
          <w:rFonts w:hint="default"/>
          <w:spacing w:val="11"/>
          <w:lang w:val="en-US" w:eastAsia="zh-CN"/>
        </w:rPr>
        <w:t>工程</w:t>
      </w:r>
      <w:r>
        <w:rPr>
          <w:rFonts w:hint="eastAsia"/>
          <w:spacing w:val="11"/>
          <w:lang w:val="en-US" w:eastAsia="zh-CN"/>
        </w:rPr>
        <w:t>服务单位招选经验</w:t>
      </w:r>
      <w:r>
        <w:rPr>
          <w:rFonts w:hint="default"/>
          <w:spacing w:val="11"/>
          <w:lang w:val="en-US" w:eastAsia="zh-CN"/>
        </w:rPr>
        <w:t>或全过程工程咨询</w:t>
      </w:r>
      <w:r>
        <w:rPr>
          <w:rFonts w:hint="eastAsia"/>
          <w:spacing w:val="11"/>
          <w:lang w:val="en-US" w:eastAsia="zh-CN"/>
        </w:rPr>
        <w:t>经验</w:t>
      </w:r>
      <w:r>
        <w:rPr>
          <w:rFonts w:hint="default"/>
          <w:spacing w:val="11"/>
          <w:lang w:val="en-US" w:eastAsia="zh-CN"/>
        </w:rPr>
        <w:t>。</w:t>
      </w:r>
    </w:p>
    <w:p w14:paraId="40990517">
      <w:pPr>
        <w:pStyle w:val="7"/>
        <w:spacing w:before="2" w:line="330" w:lineRule="auto"/>
        <w:ind w:left="69" w:right="388" w:firstLine="648"/>
        <w:rPr>
          <w:rFonts w:hint="default"/>
          <w:spacing w:val="11"/>
          <w:lang w:val="en-US" w:eastAsia="zh-CN"/>
        </w:rPr>
      </w:pPr>
      <w:r>
        <w:rPr>
          <w:rFonts w:hint="eastAsia"/>
          <w:spacing w:val="11"/>
          <w:lang w:val="en-US" w:eastAsia="zh-CN"/>
        </w:rPr>
        <w:t>2.2</w:t>
      </w:r>
      <w:r>
        <w:rPr>
          <w:rFonts w:hint="default"/>
          <w:spacing w:val="11"/>
          <w:lang w:val="en-US" w:eastAsia="zh-CN"/>
        </w:rPr>
        <w:t>项目管理团队</w:t>
      </w:r>
    </w:p>
    <w:p w14:paraId="0C53D217">
      <w:pPr>
        <w:pStyle w:val="7"/>
        <w:spacing w:before="2" w:line="330" w:lineRule="auto"/>
        <w:ind w:left="69" w:right="388" w:firstLine="648"/>
        <w:rPr>
          <w:rFonts w:hint="default"/>
          <w:spacing w:val="11"/>
          <w:lang w:val="en-US" w:eastAsia="zh-CN"/>
        </w:rPr>
      </w:pPr>
      <w:r>
        <w:rPr>
          <w:rFonts w:hint="eastAsia"/>
          <w:spacing w:val="11"/>
          <w:lang w:val="en-US" w:eastAsia="zh-CN"/>
        </w:rPr>
        <w:t>2.2.1</w:t>
      </w:r>
      <w:r>
        <w:rPr>
          <w:rFonts w:hint="default"/>
          <w:spacing w:val="11"/>
          <w:lang w:val="en-US" w:eastAsia="zh-CN"/>
        </w:rPr>
        <w:t>项目负责人</w:t>
      </w:r>
      <w:r>
        <w:rPr>
          <w:rFonts w:hint="eastAsia"/>
          <w:spacing w:val="11"/>
          <w:lang w:val="en-US" w:eastAsia="zh-CN"/>
        </w:rPr>
        <w:t>：应</w:t>
      </w:r>
      <w:r>
        <w:rPr>
          <w:rFonts w:hint="default"/>
          <w:spacing w:val="11"/>
          <w:lang w:val="en-US" w:eastAsia="zh-CN"/>
        </w:rPr>
        <w:t>具备高级工程师职称；拥有医院基建代建项目负责人业绩。</w:t>
      </w:r>
    </w:p>
    <w:p w14:paraId="33895B24">
      <w:pPr>
        <w:pStyle w:val="7"/>
        <w:spacing w:before="2" w:line="330" w:lineRule="auto"/>
        <w:ind w:left="69" w:right="388" w:firstLine="648"/>
        <w:rPr>
          <w:rFonts w:hint="default"/>
          <w:spacing w:val="11"/>
          <w:lang w:val="en-US" w:eastAsia="zh-CN"/>
        </w:rPr>
      </w:pPr>
      <w:r>
        <w:rPr>
          <w:rFonts w:hint="eastAsia"/>
          <w:spacing w:val="11"/>
          <w:lang w:val="en-US" w:eastAsia="zh-CN"/>
        </w:rPr>
        <w:t>2.2.2</w:t>
      </w:r>
      <w:r>
        <w:rPr>
          <w:rFonts w:hint="default"/>
          <w:spacing w:val="11"/>
          <w:lang w:val="en-US" w:eastAsia="zh-CN"/>
        </w:rPr>
        <w:t>核心专业人员配置</w:t>
      </w:r>
      <w:r>
        <w:rPr>
          <w:rFonts w:hint="eastAsia"/>
          <w:spacing w:val="11"/>
          <w:lang w:val="en-US" w:eastAsia="zh-CN"/>
        </w:rPr>
        <w:t>：</w:t>
      </w:r>
      <w:r>
        <w:rPr>
          <w:rFonts w:hint="default"/>
          <w:spacing w:val="11"/>
          <w:lang w:val="en-US" w:eastAsia="zh-CN"/>
        </w:rPr>
        <w:t>配备建筑、结构、弱电（医疗专项）、造价、安全管理等专职人员；</w:t>
      </w:r>
    </w:p>
    <w:p w14:paraId="0F658ECF">
      <w:pPr>
        <w:pStyle w:val="7"/>
        <w:spacing w:before="2" w:line="330" w:lineRule="auto"/>
        <w:ind w:left="69" w:right="388" w:firstLine="648"/>
        <w:rPr>
          <w:rFonts w:hint="default"/>
          <w:spacing w:val="11"/>
          <w:lang w:val="en-US" w:eastAsia="zh-CN"/>
        </w:rPr>
      </w:pPr>
      <w:r>
        <w:rPr>
          <w:rFonts w:hint="eastAsia"/>
          <w:spacing w:val="11"/>
          <w:lang w:val="en-US" w:eastAsia="zh-CN"/>
        </w:rPr>
        <w:t>2.2.3</w:t>
      </w:r>
      <w:r>
        <w:rPr>
          <w:rFonts w:hint="default"/>
          <w:spacing w:val="11"/>
          <w:lang w:val="en-US" w:eastAsia="zh-CN"/>
        </w:rPr>
        <w:t>人员提供社保缴纳证明。</w:t>
      </w:r>
    </w:p>
    <w:p w14:paraId="48181C32">
      <w:pPr>
        <w:pStyle w:val="7"/>
        <w:spacing w:before="2" w:line="330" w:lineRule="auto"/>
        <w:ind w:left="69" w:right="388" w:firstLine="648"/>
        <w:rPr>
          <w:rFonts w:hint="eastAsia" w:ascii="宋体" w:hAnsi="宋体" w:eastAsia="宋体" w:cs="Times New Roman"/>
          <w:b/>
          <w:color w:val="auto"/>
          <w:kern w:val="0"/>
          <w:sz w:val="24"/>
          <w:szCs w:val="20"/>
          <w:highlight w:val="none"/>
          <w:lang w:val="en-US" w:eastAsia="zh-CN" w:bidi="ar-SA"/>
        </w:rPr>
      </w:pPr>
      <w:r>
        <w:rPr>
          <w:rFonts w:hint="eastAsia"/>
          <w:color w:val="auto"/>
          <w:spacing w:val="11"/>
          <w:lang w:val="en-US" w:eastAsia="zh-CN"/>
        </w:rPr>
        <w:t>3投标人</w:t>
      </w:r>
      <w:r>
        <w:rPr>
          <w:rFonts w:hint="default"/>
          <w:color w:val="auto"/>
          <w:spacing w:val="11"/>
          <w:lang w:val="en-US" w:eastAsia="zh-CN"/>
        </w:rPr>
        <w:t>对医院建设特点理解到位，</w:t>
      </w:r>
      <w:r>
        <w:rPr>
          <w:rFonts w:hint="eastAsia"/>
          <w:color w:val="auto"/>
          <w:spacing w:val="11"/>
          <w:lang w:val="en-US" w:eastAsia="zh-CN"/>
        </w:rPr>
        <w:t>有</w:t>
      </w:r>
      <w:r>
        <w:rPr>
          <w:rFonts w:hint="default"/>
          <w:color w:val="auto"/>
          <w:spacing w:val="11"/>
          <w:lang w:val="en-US" w:eastAsia="zh-CN"/>
        </w:rPr>
        <w:t>总体</w:t>
      </w:r>
      <w:r>
        <w:rPr>
          <w:rFonts w:hint="eastAsia"/>
          <w:color w:val="auto"/>
          <w:spacing w:val="11"/>
          <w:lang w:val="en-US" w:eastAsia="zh-CN"/>
        </w:rPr>
        <w:t>实施及管理方案</w:t>
      </w:r>
      <w:r>
        <w:rPr>
          <w:rFonts w:hint="default"/>
          <w:color w:val="auto"/>
          <w:spacing w:val="11"/>
          <w:lang w:val="en-US" w:eastAsia="zh-CN"/>
        </w:rPr>
        <w:t>。</w:t>
      </w:r>
    </w:p>
    <w:p w14:paraId="18E3A1BE">
      <w:pPr>
        <w:pStyle w:val="2"/>
        <w:spacing w:before="120" w:beforeLines="50" w:after="120" w:afterLines="50" w:line="360" w:lineRule="auto"/>
        <w:jc w:val="center"/>
        <w:rPr>
          <w:rFonts w:hint="eastAsia"/>
          <w:color w:val="auto"/>
          <w:sz w:val="36"/>
          <w:szCs w:val="36"/>
          <w:highlight w:val="none"/>
          <w:lang w:val="en-US" w:eastAsia="zh-CN"/>
        </w:rPr>
      </w:pPr>
      <w:bookmarkStart w:id="0" w:name="_Toc24414"/>
    </w:p>
    <w:p w14:paraId="3827A4F1">
      <w:pPr>
        <w:pStyle w:val="2"/>
        <w:spacing w:before="120" w:beforeLines="50" w:after="120" w:afterLines="50" w:line="360" w:lineRule="auto"/>
        <w:jc w:val="center"/>
        <w:rPr>
          <w:rFonts w:ascii="宋体" w:hAnsi="宋体"/>
          <w:b w:val="0"/>
          <w:color w:val="auto"/>
          <w:szCs w:val="30"/>
          <w:highlight w:val="none"/>
        </w:rPr>
      </w:pPr>
      <w:r>
        <w:rPr>
          <w:rFonts w:hint="eastAsia"/>
          <w:color w:val="auto"/>
          <w:sz w:val="36"/>
          <w:szCs w:val="36"/>
          <w:highlight w:val="none"/>
          <w:lang w:val="en-US" w:eastAsia="zh-CN"/>
        </w:rPr>
        <w:t xml:space="preserve">第二章 </w:t>
      </w:r>
      <w:r>
        <w:rPr>
          <w:rFonts w:ascii="宋体" w:hAnsi="宋体"/>
          <w:color w:val="auto"/>
          <w:sz w:val="36"/>
          <w:szCs w:val="36"/>
          <w:highlight w:val="none"/>
        </w:rPr>
        <w:t>成交评定标准</w:t>
      </w:r>
    </w:p>
    <w:p w14:paraId="3406AB84">
      <w:pPr>
        <w:numPr>
          <w:ilvl w:val="0"/>
          <w:numId w:val="0"/>
        </w:numPr>
        <w:adjustRightInd w:val="0"/>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为公正、公平、科学地选择成交供应商，根据《中华人民共和国政府采购法》等有关法律法规的规定，并结合本项目的实际，制定本办法。</w:t>
      </w:r>
    </w:p>
    <w:p w14:paraId="2B165223">
      <w:pPr>
        <w:numPr>
          <w:ilvl w:val="0"/>
          <w:numId w:val="0"/>
        </w:numPr>
        <w:adjustRightInd w:val="0"/>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lang w:val="en-US" w:eastAsia="zh-CN"/>
        </w:rPr>
        <w:t>一、</w:t>
      </w:r>
      <w:r>
        <w:rPr>
          <w:rFonts w:hint="eastAsia" w:ascii="宋体" w:hAnsi="宋体"/>
          <w:color w:val="auto"/>
          <w:sz w:val="24"/>
          <w:highlight w:val="none"/>
        </w:rPr>
        <w:t>本项目</w:t>
      </w:r>
      <w:r>
        <w:rPr>
          <w:rFonts w:hint="eastAsia" w:ascii="宋体" w:hAnsi="宋体" w:cs="宋体"/>
          <w:b/>
          <w:color w:val="auto"/>
          <w:kern w:val="0"/>
          <w:sz w:val="24"/>
          <w:highlight w:val="none"/>
          <w:lang w:val="en-US" w:eastAsia="zh-CN"/>
        </w:rPr>
        <w:t>采用综合评分法</w:t>
      </w:r>
      <w:r>
        <w:rPr>
          <w:rFonts w:hint="eastAsia" w:ascii="宋体" w:hAnsi="宋体"/>
          <w:color w:val="auto"/>
          <w:sz w:val="24"/>
          <w:highlight w:val="none"/>
        </w:rPr>
        <w:t>。</w:t>
      </w:r>
    </w:p>
    <w:p w14:paraId="61DC8730">
      <w:pPr>
        <w:snapToGrid w:val="0"/>
        <w:spacing w:line="380" w:lineRule="exact"/>
        <w:ind w:firstLine="472" w:firstLineChars="196"/>
        <w:jc w:val="left"/>
        <w:outlineLvl w:val="0"/>
        <w:rPr>
          <w:rFonts w:ascii="宋体" w:hAnsi="宋体"/>
          <w:b/>
          <w:color w:val="auto"/>
          <w:sz w:val="24"/>
          <w:highlight w:val="none"/>
        </w:rPr>
      </w:pPr>
      <w:r>
        <w:rPr>
          <w:rFonts w:hint="eastAsia" w:ascii="宋体" w:hAnsi="宋体"/>
          <w:b/>
          <w:color w:val="auto"/>
          <w:sz w:val="24"/>
          <w:highlight w:val="none"/>
          <w:lang w:val="en-US" w:eastAsia="zh-CN"/>
        </w:rPr>
        <w:t>二、谈判</w:t>
      </w:r>
      <w:r>
        <w:rPr>
          <w:rFonts w:hint="eastAsia" w:ascii="宋体" w:hAnsi="宋体"/>
          <w:b/>
          <w:color w:val="auto"/>
          <w:sz w:val="24"/>
          <w:highlight w:val="none"/>
        </w:rPr>
        <w:t>文件的组成</w:t>
      </w:r>
    </w:p>
    <w:p w14:paraId="432034F1">
      <w:pPr>
        <w:snapToGrid w:val="0"/>
        <w:spacing w:line="400" w:lineRule="exact"/>
        <w:ind w:firstLine="480" w:firstLineChars="200"/>
        <w:jc w:val="left"/>
        <w:rPr>
          <w:rFonts w:hint="eastAsia" w:ascii="宋体" w:hAnsi="宋体"/>
          <w:color w:val="auto"/>
          <w:sz w:val="24"/>
          <w:highlight w:val="none"/>
        </w:rPr>
      </w:pPr>
      <w:r>
        <w:rPr>
          <w:rFonts w:hint="eastAsia" w:ascii="宋体" w:hAnsi="宋体"/>
          <w:color w:val="auto"/>
          <w:sz w:val="24"/>
          <w:highlight w:val="none"/>
        </w:rPr>
        <w:t>由技术文件组成。</w:t>
      </w:r>
    </w:p>
    <w:p w14:paraId="381B8D05">
      <w:pPr>
        <w:pStyle w:val="8"/>
        <w:spacing w:line="460" w:lineRule="exact"/>
        <w:ind w:firstLine="482" w:firstLineChars="200"/>
        <w:rPr>
          <w:rFonts w:ascii="Times New Roman" w:hAnsi="Times New Roman"/>
          <w:b/>
          <w:bCs/>
          <w:color w:val="auto"/>
          <w:sz w:val="24"/>
          <w:szCs w:val="24"/>
          <w:highlight w:val="none"/>
        </w:rPr>
      </w:pPr>
      <w:r>
        <w:rPr>
          <w:rFonts w:ascii="Times New Roman" w:hAnsi="Times New Roman"/>
          <w:b/>
          <w:bCs/>
          <w:color w:val="auto"/>
          <w:sz w:val="24"/>
          <w:szCs w:val="24"/>
          <w:highlight w:val="none"/>
        </w:rPr>
        <w:t>1技术标:</w:t>
      </w:r>
    </w:p>
    <w:p w14:paraId="101CAB11">
      <w:pPr>
        <w:pStyle w:val="8"/>
        <w:spacing w:line="460" w:lineRule="exact"/>
        <w:ind w:firstLine="482" w:firstLineChars="200"/>
        <w:rPr>
          <w:rFonts w:ascii="Times New Roman" w:hAnsi="Times New Roman"/>
          <w:b/>
          <w:bCs/>
          <w:color w:val="auto"/>
          <w:sz w:val="24"/>
          <w:szCs w:val="24"/>
          <w:highlight w:val="none"/>
        </w:rPr>
      </w:pPr>
      <w:r>
        <w:rPr>
          <w:rFonts w:ascii="Times New Roman" w:hAnsi="Times New Roman"/>
          <w:b/>
          <w:bCs/>
          <w:color w:val="auto"/>
          <w:sz w:val="24"/>
          <w:szCs w:val="24"/>
          <w:highlight w:val="none"/>
        </w:rPr>
        <w:t>应包括下列内容（并不仅限于以下）并应按顺序装订成册</w:t>
      </w:r>
      <w:r>
        <w:rPr>
          <w:rFonts w:hint="eastAsia" w:ascii="Times New Roman" w:hAnsi="Times New Roman"/>
          <w:b/>
          <w:bCs/>
          <w:color w:val="auto"/>
          <w:sz w:val="24"/>
          <w:szCs w:val="24"/>
          <w:highlight w:val="none"/>
          <w:lang w:eastAsia="zh-CN"/>
        </w:rPr>
        <w:t>，</w:t>
      </w:r>
      <w:r>
        <w:rPr>
          <w:rFonts w:hint="eastAsia" w:ascii="Times New Roman" w:hAnsi="Times New Roman"/>
          <w:b/>
          <w:bCs/>
          <w:color w:val="auto"/>
          <w:sz w:val="24"/>
          <w:szCs w:val="24"/>
          <w:highlight w:val="none"/>
          <w:lang w:val="en-US" w:eastAsia="zh-CN"/>
        </w:rPr>
        <w:t>技术标文件要有目录，并注明页码</w:t>
      </w:r>
      <w:r>
        <w:rPr>
          <w:rFonts w:ascii="Times New Roman" w:hAnsi="Times New Roman"/>
          <w:b/>
          <w:bCs/>
          <w:color w:val="auto"/>
          <w:sz w:val="24"/>
          <w:szCs w:val="24"/>
          <w:highlight w:val="none"/>
        </w:rPr>
        <w:t>：(复印件需加盖单位公章，提供的所有证书应在有效期内)</w:t>
      </w:r>
    </w:p>
    <w:tbl>
      <w:tblPr>
        <w:tblStyle w:val="13"/>
        <w:tblW w:w="907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6"/>
        <w:gridCol w:w="3017"/>
        <w:gridCol w:w="3765"/>
        <w:gridCol w:w="705"/>
        <w:gridCol w:w="930"/>
      </w:tblGrid>
      <w:tr w14:paraId="0C007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143" w:type="dxa"/>
            <w:gridSpan w:val="4"/>
            <w:tcBorders>
              <w:top w:val="nil"/>
              <w:left w:val="nil"/>
              <w:bottom w:val="nil"/>
              <w:right w:val="nil"/>
            </w:tcBorders>
            <w:shd w:val="clear" w:color="auto" w:fill="auto"/>
            <w:noWrap/>
            <w:vAlign w:val="center"/>
          </w:tcPr>
          <w:p w14:paraId="2432951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技术标文件目录</w:t>
            </w:r>
          </w:p>
        </w:tc>
        <w:tc>
          <w:tcPr>
            <w:tcW w:w="930" w:type="dxa"/>
            <w:tcBorders>
              <w:top w:val="nil"/>
              <w:left w:val="nil"/>
              <w:bottom w:val="nil"/>
              <w:right w:val="nil"/>
            </w:tcBorders>
            <w:shd w:val="clear" w:color="auto" w:fill="auto"/>
            <w:noWrap/>
            <w:vAlign w:val="center"/>
          </w:tcPr>
          <w:p w14:paraId="3F55323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1BC3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62189">
            <w:pPr>
              <w:keepNext w:val="0"/>
              <w:keepLines w:val="0"/>
              <w:widowControl/>
              <w:suppressLineNumbers w:val="0"/>
              <w:jc w:val="center"/>
              <w:textAlignment w:val="center"/>
              <w:rPr>
                <w:rFonts w:ascii="黑体" w:hAnsi="宋体" w:eastAsia="黑体" w:cs="黑体"/>
                <w:i w:val="0"/>
                <w:iCs w:val="0"/>
                <w:color w:val="auto"/>
                <w:sz w:val="22"/>
                <w:szCs w:val="22"/>
                <w:highlight w:val="none"/>
                <w:u w:val="none"/>
              </w:rPr>
            </w:pPr>
            <w:r>
              <w:rPr>
                <w:rFonts w:hint="eastAsia" w:ascii="黑体" w:hAnsi="宋体" w:eastAsia="黑体" w:cs="黑体"/>
                <w:i w:val="0"/>
                <w:iCs w:val="0"/>
                <w:color w:val="auto"/>
                <w:kern w:val="0"/>
                <w:sz w:val="22"/>
                <w:szCs w:val="22"/>
                <w:highlight w:val="none"/>
                <w:u w:val="none"/>
                <w:lang w:val="en-US" w:eastAsia="zh-CN" w:bidi="ar"/>
              </w:rPr>
              <w:t>序号</w:t>
            </w: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6D6EE">
            <w:pPr>
              <w:keepNext w:val="0"/>
              <w:keepLines w:val="0"/>
              <w:widowControl/>
              <w:suppressLineNumbers w:val="0"/>
              <w:jc w:val="center"/>
              <w:textAlignment w:val="center"/>
              <w:rPr>
                <w:rFonts w:hint="eastAsia" w:ascii="黑体" w:hAnsi="宋体" w:eastAsia="黑体" w:cs="黑体"/>
                <w:i w:val="0"/>
                <w:iCs w:val="0"/>
                <w:color w:val="auto"/>
                <w:sz w:val="22"/>
                <w:szCs w:val="22"/>
                <w:highlight w:val="none"/>
                <w:u w:val="none"/>
              </w:rPr>
            </w:pPr>
            <w:r>
              <w:rPr>
                <w:rFonts w:hint="eastAsia" w:ascii="黑体" w:hAnsi="宋体" w:eastAsia="黑体" w:cs="黑体"/>
                <w:i w:val="0"/>
                <w:iCs w:val="0"/>
                <w:color w:val="auto"/>
                <w:kern w:val="0"/>
                <w:sz w:val="22"/>
                <w:szCs w:val="22"/>
                <w:highlight w:val="none"/>
                <w:u w:val="none"/>
                <w:lang w:val="en-US" w:eastAsia="zh-CN" w:bidi="ar"/>
              </w:rPr>
              <w:t>需提供资料</w:t>
            </w:r>
          </w:p>
        </w:tc>
        <w:tc>
          <w:tcPr>
            <w:tcW w:w="3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3B1A1">
            <w:pPr>
              <w:jc w:val="center"/>
              <w:rPr>
                <w:rFonts w:hint="eastAsia" w:ascii="黑体" w:hAnsi="宋体" w:eastAsia="黑体" w:cs="黑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3014C">
            <w:pPr>
              <w:keepNext w:val="0"/>
              <w:keepLines w:val="0"/>
              <w:widowControl/>
              <w:suppressLineNumbers w:val="0"/>
              <w:jc w:val="center"/>
              <w:textAlignment w:val="center"/>
              <w:rPr>
                <w:rFonts w:hint="eastAsia" w:ascii="黑体" w:hAnsi="宋体" w:eastAsia="黑体" w:cs="黑体"/>
                <w:i w:val="0"/>
                <w:iCs w:val="0"/>
                <w:color w:val="auto"/>
                <w:sz w:val="22"/>
                <w:szCs w:val="22"/>
                <w:highlight w:val="none"/>
                <w:u w:val="none"/>
              </w:rPr>
            </w:pPr>
            <w:r>
              <w:rPr>
                <w:rFonts w:hint="eastAsia" w:ascii="黑体" w:hAnsi="宋体" w:eastAsia="黑体" w:cs="黑体"/>
                <w:i w:val="0"/>
                <w:iCs w:val="0"/>
                <w:color w:val="auto"/>
                <w:kern w:val="0"/>
                <w:sz w:val="22"/>
                <w:szCs w:val="22"/>
                <w:highlight w:val="none"/>
                <w:u w:val="none"/>
                <w:lang w:val="en-US" w:eastAsia="zh-CN" w:bidi="ar"/>
              </w:rPr>
              <w:t>页码</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50D60">
            <w:pPr>
              <w:keepNext w:val="0"/>
              <w:keepLines w:val="0"/>
              <w:widowControl/>
              <w:suppressLineNumbers w:val="0"/>
              <w:jc w:val="center"/>
              <w:textAlignment w:val="center"/>
              <w:rPr>
                <w:rFonts w:hint="default" w:ascii="黑体" w:hAnsi="宋体" w:eastAsia="黑体" w:cs="黑体"/>
                <w:i w:val="0"/>
                <w:iCs w:val="0"/>
                <w:color w:val="auto"/>
                <w:kern w:val="0"/>
                <w:sz w:val="22"/>
                <w:szCs w:val="22"/>
                <w:highlight w:val="none"/>
                <w:u w:val="none"/>
                <w:lang w:val="en-US" w:eastAsia="zh-CN" w:bidi="ar"/>
              </w:rPr>
            </w:pPr>
            <w:r>
              <w:rPr>
                <w:rFonts w:hint="eastAsia" w:ascii="黑体" w:hAnsi="宋体" w:eastAsia="黑体" w:cs="黑体"/>
                <w:i w:val="0"/>
                <w:iCs w:val="0"/>
                <w:color w:val="auto"/>
                <w:kern w:val="0"/>
                <w:sz w:val="22"/>
                <w:szCs w:val="22"/>
                <w:highlight w:val="none"/>
                <w:u w:val="none"/>
                <w:lang w:val="en-US" w:eastAsia="zh-CN" w:bidi="ar"/>
              </w:rPr>
              <w:t>备注</w:t>
            </w:r>
          </w:p>
        </w:tc>
      </w:tr>
      <w:tr w14:paraId="6C553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189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469AE">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Style w:val="20"/>
                <w:color w:val="auto"/>
                <w:highlight w:val="none"/>
                <w:lang w:val="en-US" w:eastAsia="zh-CN" w:bidi="ar"/>
              </w:rPr>
              <w:t>投标单位情况介绍</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11C54">
            <w:pPr>
              <w:jc w:val="left"/>
              <w:rPr>
                <w:rFonts w:hint="eastAsia" w:ascii="宋体" w:hAnsi="宋体" w:eastAsia="宋体" w:cs="宋体"/>
                <w:i w:val="0"/>
                <w:iCs w:val="0"/>
                <w:color w:val="auto"/>
                <w:sz w:val="21"/>
                <w:szCs w:val="21"/>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5FA86">
            <w:pPr>
              <w:jc w:val="center"/>
              <w:rPr>
                <w:rFonts w:hint="eastAsia" w:ascii="宋体" w:hAnsi="宋体" w:eastAsia="宋体" w:cs="宋体"/>
                <w:i w:val="0"/>
                <w:iCs w:val="0"/>
                <w:color w:val="auto"/>
                <w:sz w:val="21"/>
                <w:szCs w:val="21"/>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2E23F">
            <w:pPr>
              <w:jc w:val="center"/>
              <w:rPr>
                <w:rFonts w:hint="eastAsia" w:ascii="宋体" w:hAnsi="宋体" w:eastAsia="宋体" w:cs="宋体"/>
                <w:i w:val="0"/>
                <w:iCs w:val="0"/>
                <w:color w:val="auto"/>
                <w:sz w:val="21"/>
                <w:szCs w:val="21"/>
                <w:highlight w:val="none"/>
                <w:u w:val="none"/>
              </w:rPr>
            </w:pPr>
          </w:p>
        </w:tc>
      </w:tr>
      <w:tr w14:paraId="4D0A5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803D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99D8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Style w:val="20"/>
                <w:color w:val="auto"/>
                <w:highlight w:val="none"/>
                <w:lang w:val="en-US" w:eastAsia="zh-CN" w:bidi="ar"/>
              </w:rPr>
              <w:t>有效的营业执照副本复印件</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F5392">
            <w:pPr>
              <w:jc w:val="left"/>
              <w:rPr>
                <w:rFonts w:hint="eastAsia" w:ascii="宋体" w:hAnsi="宋体" w:eastAsia="宋体" w:cs="宋体"/>
                <w:i w:val="0"/>
                <w:iCs w:val="0"/>
                <w:color w:val="auto"/>
                <w:sz w:val="21"/>
                <w:szCs w:val="21"/>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top"/>
          </w:tcPr>
          <w:p w14:paraId="46CD0913">
            <w:pPr>
              <w:jc w:val="center"/>
              <w:rPr>
                <w:rFonts w:hint="eastAsia" w:ascii="宋体" w:hAnsi="宋体" w:eastAsia="宋体" w:cs="宋体"/>
                <w:i w:val="0"/>
                <w:iCs w:val="0"/>
                <w:color w:val="auto"/>
                <w:sz w:val="21"/>
                <w:szCs w:val="21"/>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top"/>
          </w:tcPr>
          <w:p w14:paraId="4EAA8F5B">
            <w:pPr>
              <w:jc w:val="center"/>
              <w:rPr>
                <w:rFonts w:hint="eastAsia" w:ascii="宋体" w:hAnsi="宋体" w:eastAsia="宋体" w:cs="宋体"/>
                <w:i w:val="0"/>
                <w:iCs w:val="0"/>
                <w:color w:val="auto"/>
                <w:sz w:val="21"/>
                <w:szCs w:val="21"/>
                <w:highlight w:val="none"/>
                <w:u w:val="none"/>
              </w:rPr>
            </w:pPr>
          </w:p>
        </w:tc>
      </w:tr>
      <w:tr w14:paraId="73512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589D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810F0">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Style w:val="20"/>
                <w:color w:val="auto"/>
                <w:highlight w:val="none"/>
                <w:lang w:val="en-US" w:eastAsia="zh-CN" w:bidi="ar"/>
              </w:rPr>
              <w:t>法定代表人身份证复印件</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4688A">
            <w:pPr>
              <w:jc w:val="left"/>
              <w:rPr>
                <w:rFonts w:hint="eastAsia" w:ascii="宋体" w:hAnsi="宋体" w:eastAsia="宋体" w:cs="宋体"/>
                <w:i w:val="0"/>
                <w:iCs w:val="0"/>
                <w:color w:val="auto"/>
                <w:sz w:val="21"/>
                <w:szCs w:val="21"/>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top"/>
          </w:tcPr>
          <w:p w14:paraId="3D75F784">
            <w:pPr>
              <w:jc w:val="center"/>
              <w:rPr>
                <w:rFonts w:hint="eastAsia" w:ascii="宋体" w:hAnsi="宋体" w:eastAsia="宋体" w:cs="宋体"/>
                <w:i w:val="0"/>
                <w:iCs w:val="0"/>
                <w:color w:val="auto"/>
                <w:sz w:val="21"/>
                <w:szCs w:val="21"/>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top"/>
          </w:tcPr>
          <w:p w14:paraId="33B56E74">
            <w:pPr>
              <w:jc w:val="center"/>
              <w:rPr>
                <w:rFonts w:hint="eastAsia" w:ascii="宋体" w:hAnsi="宋体" w:eastAsia="宋体" w:cs="宋体"/>
                <w:i w:val="0"/>
                <w:iCs w:val="0"/>
                <w:color w:val="auto"/>
                <w:sz w:val="21"/>
                <w:szCs w:val="21"/>
                <w:highlight w:val="none"/>
                <w:u w:val="none"/>
              </w:rPr>
            </w:pPr>
          </w:p>
        </w:tc>
      </w:tr>
      <w:tr w14:paraId="27119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E014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EE67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Style w:val="20"/>
                <w:color w:val="auto"/>
                <w:highlight w:val="none"/>
                <w:lang w:val="en-US" w:eastAsia="zh-CN" w:bidi="ar"/>
              </w:rPr>
              <w:t>授权委托书、授权代表身份证复印件</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7A695">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Style w:val="20"/>
                <w:color w:val="auto"/>
                <w:highlight w:val="none"/>
                <w:lang w:val="en-US" w:eastAsia="zh-CN" w:bidi="ar"/>
              </w:rPr>
              <w:t>如法定代表人出席投标会的不须提供。</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9225C">
            <w:pPr>
              <w:jc w:val="center"/>
              <w:rPr>
                <w:rFonts w:hint="eastAsia" w:ascii="宋体" w:hAnsi="宋体" w:eastAsia="宋体" w:cs="宋体"/>
                <w:i w:val="0"/>
                <w:iCs w:val="0"/>
                <w:color w:val="auto"/>
                <w:sz w:val="21"/>
                <w:szCs w:val="21"/>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1EDB6">
            <w:pPr>
              <w:jc w:val="center"/>
              <w:rPr>
                <w:rFonts w:hint="eastAsia" w:ascii="宋体" w:hAnsi="宋体" w:eastAsia="宋体" w:cs="宋体"/>
                <w:i w:val="0"/>
                <w:iCs w:val="0"/>
                <w:color w:val="auto"/>
                <w:sz w:val="21"/>
                <w:szCs w:val="21"/>
                <w:highlight w:val="none"/>
                <w:u w:val="none"/>
              </w:rPr>
            </w:pPr>
          </w:p>
        </w:tc>
      </w:tr>
      <w:tr w14:paraId="08B02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42C6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55CB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Style w:val="20"/>
                <w:color w:val="auto"/>
                <w:highlight w:val="none"/>
                <w:lang w:val="en-US" w:eastAsia="zh-CN" w:bidi="ar"/>
              </w:rPr>
              <w:t>相关业绩</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B151C">
            <w:pPr>
              <w:adjustRightInd w:val="0"/>
              <w:snapToGrid w:val="0"/>
              <w:jc w:val="left"/>
              <w:rPr>
                <w:rFonts w:ascii="宋体" w:hAnsi="宋体" w:eastAsia="宋体" w:cs="宋体"/>
                <w:color w:val="auto"/>
                <w:kern w:val="0"/>
                <w:sz w:val="21"/>
                <w:szCs w:val="21"/>
                <w:highlight w:val="none"/>
                <w14:ligatures w14:val="none"/>
              </w:rPr>
            </w:pPr>
            <w:r>
              <w:rPr>
                <w:rFonts w:ascii="宋体" w:hAnsi="宋体" w:eastAsia="宋体" w:cs="宋体"/>
                <w:color w:val="auto"/>
                <w:kern w:val="0"/>
                <w:sz w:val="21"/>
                <w:szCs w:val="21"/>
                <w:highlight w:val="none"/>
                <w14:ligatures w14:val="none"/>
              </w:rPr>
              <w:t>202</w:t>
            </w:r>
            <w:r>
              <w:rPr>
                <w:rFonts w:hint="eastAsia" w:ascii="宋体" w:hAnsi="宋体" w:cs="宋体"/>
                <w:color w:val="auto"/>
                <w:kern w:val="0"/>
                <w:sz w:val="21"/>
                <w:szCs w:val="21"/>
                <w:highlight w:val="none"/>
                <w:lang w:val="en-US" w:eastAsia="zh-CN"/>
                <w14:ligatures w14:val="none"/>
              </w:rPr>
              <w:t>3</w:t>
            </w:r>
            <w:r>
              <w:rPr>
                <w:rFonts w:hint="eastAsia" w:ascii="宋体" w:hAnsi="宋体" w:eastAsia="宋体" w:cs="宋体"/>
                <w:color w:val="auto"/>
                <w:kern w:val="0"/>
                <w:sz w:val="21"/>
                <w:szCs w:val="21"/>
                <w:highlight w:val="none"/>
                <w14:ligatures w14:val="none"/>
              </w:rPr>
              <w:t>年</w:t>
            </w:r>
            <w:r>
              <w:rPr>
                <w:rFonts w:ascii="宋体" w:hAnsi="宋体" w:eastAsia="宋体" w:cs="宋体"/>
                <w:color w:val="auto"/>
                <w:kern w:val="0"/>
                <w:sz w:val="21"/>
                <w:szCs w:val="21"/>
                <w:highlight w:val="none"/>
                <w14:ligatures w14:val="none"/>
              </w:rPr>
              <w:t>1</w:t>
            </w:r>
            <w:r>
              <w:rPr>
                <w:rFonts w:hint="eastAsia" w:ascii="宋体" w:hAnsi="宋体" w:eastAsia="宋体" w:cs="宋体"/>
                <w:color w:val="auto"/>
                <w:kern w:val="0"/>
                <w:sz w:val="21"/>
                <w:szCs w:val="21"/>
                <w:highlight w:val="none"/>
                <w14:ligatures w14:val="none"/>
              </w:rPr>
              <w:t>月</w:t>
            </w:r>
            <w:r>
              <w:rPr>
                <w:rFonts w:ascii="宋体" w:hAnsi="宋体" w:eastAsia="宋体" w:cs="宋体"/>
                <w:color w:val="auto"/>
                <w:kern w:val="0"/>
                <w:sz w:val="21"/>
                <w:szCs w:val="21"/>
                <w:highlight w:val="none"/>
                <w14:ligatures w14:val="none"/>
              </w:rPr>
              <w:t>1</w:t>
            </w:r>
            <w:r>
              <w:rPr>
                <w:rFonts w:hint="eastAsia" w:ascii="宋体" w:hAnsi="宋体" w:eastAsia="宋体" w:cs="宋体"/>
                <w:color w:val="auto"/>
                <w:kern w:val="0"/>
                <w:sz w:val="21"/>
                <w:szCs w:val="21"/>
                <w:highlight w:val="none"/>
                <w14:ligatures w14:val="none"/>
              </w:rPr>
              <w:t>日至提交投标文件截止日前，投标人承担的同类项目。</w:t>
            </w:r>
          </w:p>
          <w:p w14:paraId="0867F87D">
            <w:pPr>
              <w:jc w:val="left"/>
              <w:rPr>
                <w:rFonts w:hint="default" w:ascii="宋体" w:hAnsi="宋体" w:eastAsia="宋体" w:cs="宋体"/>
                <w:i w:val="0"/>
                <w:iCs w:val="0"/>
                <w:color w:val="auto"/>
                <w:sz w:val="21"/>
                <w:szCs w:val="21"/>
                <w:highlight w:val="none"/>
                <w:u w:val="none"/>
                <w:lang w:val="en-US"/>
              </w:rPr>
            </w:pPr>
            <w:r>
              <w:rPr>
                <w:rFonts w:hint="eastAsia" w:ascii="宋体" w:hAnsi="宋体" w:eastAsia="宋体" w:cs="宋体"/>
                <w:color w:val="auto"/>
                <w:kern w:val="0"/>
                <w:sz w:val="21"/>
                <w:szCs w:val="21"/>
                <w:highlight w:val="none"/>
                <w14:ligatures w14:val="none"/>
              </w:rPr>
              <w:t>证明材料：合同复印件。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top"/>
          </w:tcPr>
          <w:p w14:paraId="5D946C3D">
            <w:pPr>
              <w:jc w:val="center"/>
              <w:rPr>
                <w:rFonts w:hint="eastAsia" w:ascii="宋体" w:hAnsi="宋体" w:eastAsia="宋体" w:cs="宋体"/>
                <w:i w:val="0"/>
                <w:iCs w:val="0"/>
                <w:color w:val="auto"/>
                <w:sz w:val="21"/>
                <w:szCs w:val="21"/>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top"/>
          </w:tcPr>
          <w:p w14:paraId="33B7CF20">
            <w:pPr>
              <w:jc w:val="center"/>
              <w:rPr>
                <w:rFonts w:hint="eastAsia" w:ascii="宋体" w:hAnsi="宋体" w:eastAsia="宋体" w:cs="宋体"/>
                <w:i w:val="0"/>
                <w:iCs w:val="0"/>
                <w:color w:val="auto"/>
                <w:sz w:val="21"/>
                <w:szCs w:val="21"/>
                <w:highlight w:val="none"/>
                <w:u w:val="none"/>
              </w:rPr>
            </w:pPr>
          </w:p>
        </w:tc>
      </w:tr>
      <w:tr w14:paraId="0E553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E00C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041A0">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Style w:val="20"/>
                <w:color w:val="auto"/>
                <w:highlight w:val="none"/>
                <w:lang w:val="en-US" w:eastAsia="zh-CN" w:bidi="ar"/>
              </w:rPr>
              <w:t>项目运作的详细方案</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0C9B8">
            <w:pPr>
              <w:jc w:val="left"/>
              <w:rPr>
                <w:rFonts w:hint="eastAsia" w:ascii="宋体" w:hAnsi="宋体" w:eastAsia="宋体" w:cs="宋体"/>
                <w:i w:val="0"/>
                <w:iCs w:val="0"/>
                <w:color w:val="auto"/>
                <w:sz w:val="21"/>
                <w:szCs w:val="21"/>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top"/>
          </w:tcPr>
          <w:p w14:paraId="0EECE3B8">
            <w:pPr>
              <w:jc w:val="center"/>
              <w:rPr>
                <w:rFonts w:hint="eastAsia" w:ascii="宋体" w:hAnsi="宋体" w:eastAsia="宋体" w:cs="宋体"/>
                <w:i w:val="0"/>
                <w:iCs w:val="0"/>
                <w:color w:val="auto"/>
                <w:sz w:val="21"/>
                <w:szCs w:val="21"/>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top"/>
          </w:tcPr>
          <w:p w14:paraId="31A49ECB">
            <w:pPr>
              <w:jc w:val="center"/>
              <w:rPr>
                <w:rFonts w:hint="eastAsia" w:ascii="宋体" w:hAnsi="宋体" w:eastAsia="宋体" w:cs="宋体"/>
                <w:i w:val="0"/>
                <w:iCs w:val="0"/>
                <w:color w:val="auto"/>
                <w:sz w:val="21"/>
                <w:szCs w:val="21"/>
                <w:highlight w:val="none"/>
                <w:u w:val="none"/>
              </w:rPr>
            </w:pPr>
          </w:p>
        </w:tc>
      </w:tr>
      <w:tr w14:paraId="3860A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9C66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77BB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Style w:val="20"/>
                <w:color w:val="auto"/>
                <w:highlight w:val="none"/>
                <w:lang w:val="en-US" w:eastAsia="zh-CN" w:bidi="ar"/>
              </w:rPr>
              <w:t>招标文件服务要求中规定需要投标人作出说明或描述的。</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065F9">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top"/>
          </w:tcPr>
          <w:p w14:paraId="08D055AF">
            <w:pPr>
              <w:jc w:val="center"/>
              <w:rPr>
                <w:rFonts w:hint="eastAsia" w:ascii="宋体" w:hAnsi="宋体" w:eastAsia="宋体" w:cs="宋体"/>
                <w:i w:val="0"/>
                <w:iCs w:val="0"/>
                <w:color w:val="auto"/>
                <w:sz w:val="21"/>
                <w:szCs w:val="21"/>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top"/>
          </w:tcPr>
          <w:p w14:paraId="42BC7064">
            <w:pPr>
              <w:jc w:val="center"/>
              <w:rPr>
                <w:rFonts w:hint="eastAsia" w:ascii="宋体" w:hAnsi="宋体" w:eastAsia="宋体" w:cs="宋体"/>
                <w:i w:val="0"/>
                <w:iCs w:val="0"/>
                <w:color w:val="auto"/>
                <w:sz w:val="21"/>
                <w:szCs w:val="21"/>
                <w:highlight w:val="none"/>
                <w:u w:val="none"/>
              </w:rPr>
            </w:pPr>
          </w:p>
        </w:tc>
      </w:tr>
      <w:tr w14:paraId="70089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B40F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26FF7">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Style w:val="20"/>
                <w:color w:val="auto"/>
                <w:highlight w:val="none"/>
                <w:lang w:val="en-US" w:eastAsia="zh-CN" w:bidi="ar"/>
              </w:rPr>
              <w:t>投标人认为须提供的其他资料。</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49EB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top"/>
          </w:tcPr>
          <w:p w14:paraId="43752EFC">
            <w:pPr>
              <w:jc w:val="center"/>
              <w:rPr>
                <w:rFonts w:hint="eastAsia" w:ascii="宋体" w:hAnsi="宋体" w:eastAsia="宋体" w:cs="宋体"/>
                <w:i w:val="0"/>
                <w:iCs w:val="0"/>
                <w:color w:val="auto"/>
                <w:sz w:val="21"/>
                <w:szCs w:val="21"/>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top"/>
          </w:tcPr>
          <w:p w14:paraId="004E241B">
            <w:pPr>
              <w:jc w:val="center"/>
              <w:rPr>
                <w:rFonts w:hint="eastAsia" w:ascii="宋体" w:hAnsi="宋体" w:eastAsia="宋体" w:cs="宋体"/>
                <w:i w:val="0"/>
                <w:iCs w:val="0"/>
                <w:color w:val="auto"/>
                <w:sz w:val="21"/>
                <w:szCs w:val="21"/>
                <w:highlight w:val="none"/>
                <w:u w:val="none"/>
              </w:rPr>
            </w:pPr>
          </w:p>
        </w:tc>
      </w:tr>
    </w:tbl>
    <w:p w14:paraId="2D4E3546">
      <w:pPr>
        <w:rPr>
          <w:color w:val="auto"/>
          <w:highlight w:val="none"/>
        </w:rPr>
      </w:pPr>
    </w:p>
    <w:p w14:paraId="21D92397">
      <w:pPr>
        <w:pStyle w:val="2"/>
        <w:spacing w:before="120" w:beforeLines="50" w:after="120" w:afterLines="50" w:line="360" w:lineRule="auto"/>
        <w:ind w:firstLine="2168" w:firstLineChars="600"/>
        <w:jc w:val="both"/>
        <w:rPr>
          <w:rFonts w:hint="eastAsia"/>
          <w:color w:val="auto"/>
          <w:sz w:val="36"/>
          <w:szCs w:val="36"/>
          <w:highlight w:val="none"/>
          <w:lang w:val="en-US" w:eastAsia="zh-CN"/>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3BBB41A9">
      <w:pPr>
        <w:spacing w:before="275" w:line="224" w:lineRule="auto"/>
        <w:ind w:left="3481"/>
        <w:jc w:val="left"/>
        <w:rPr>
          <w:rFonts w:hint="eastAsia" w:ascii="宋体" w:hAnsi="宋体" w:eastAsia="宋体" w:cs="宋体"/>
          <w:b/>
          <w:color w:val="auto"/>
          <w:kern w:val="44"/>
          <w:sz w:val="36"/>
          <w:szCs w:val="36"/>
          <w:highlight w:val="none"/>
          <w:lang w:val="en-US" w:eastAsia="zh-CN" w:bidi="ar"/>
        </w:rPr>
      </w:pPr>
      <w:r>
        <w:rPr>
          <w:rFonts w:hint="eastAsia" w:ascii="宋体" w:hAnsi="宋体" w:eastAsia="宋体" w:cs="宋体"/>
          <w:b/>
          <w:color w:val="auto"/>
          <w:kern w:val="44"/>
          <w:sz w:val="36"/>
          <w:szCs w:val="36"/>
          <w:highlight w:val="none"/>
          <w:lang w:val="en-US" w:eastAsia="zh-CN" w:bidi="ar"/>
        </w:rPr>
        <w:t>第三章   评标办法</w:t>
      </w:r>
    </w:p>
    <w:p w14:paraId="76B65FAE">
      <w:pPr>
        <w:spacing w:before="185" w:line="380" w:lineRule="auto"/>
        <w:ind w:left="143" w:right="368" w:firstLine="506"/>
        <w:rPr>
          <w:rFonts w:hint="eastAsia" w:cs="Times New Roman"/>
          <w:color w:val="auto"/>
          <w:sz w:val="24"/>
          <w:highlight w:val="none"/>
        </w:rPr>
      </w:pPr>
    </w:p>
    <w:p w14:paraId="5816367E">
      <w:pPr>
        <w:spacing w:before="185" w:line="380" w:lineRule="auto"/>
        <w:ind w:left="143" w:right="368" w:firstLine="506"/>
        <w:rPr>
          <w:rFonts w:hint="eastAsia" w:cs="Times New Roman"/>
          <w:color w:val="auto"/>
          <w:sz w:val="24"/>
          <w:highlight w:val="none"/>
        </w:rPr>
      </w:pPr>
      <w:r>
        <w:rPr>
          <w:rFonts w:hint="eastAsia" w:cs="Times New Roman"/>
          <w:color w:val="auto"/>
          <w:sz w:val="24"/>
          <w:highlight w:val="none"/>
        </w:rPr>
        <w:t>本项目总分为</w:t>
      </w:r>
      <w:r>
        <w:rPr>
          <w:rFonts w:hint="eastAsia" w:cs="Times New Roman"/>
          <w:color w:val="auto"/>
          <w:sz w:val="24"/>
          <w:highlight w:val="none"/>
          <w:lang w:val="en-US" w:eastAsia="zh-CN"/>
        </w:rPr>
        <w:t>100</w:t>
      </w:r>
      <w:r>
        <w:rPr>
          <w:rFonts w:hint="eastAsia" w:cs="Times New Roman"/>
          <w:color w:val="auto"/>
          <w:sz w:val="24"/>
          <w:highlight w:val="none"/>
        </w:rPr>
        <w:t>分。其中技术分</w:t>
      </w:r>
      <w:r>
        <w:rPr>
          <w:rFonts w:hint="eastAsia" w:cs="Times New Roman"/>
          <w:color w:val="auto"/>
          <w:sz w:val="24"/>
          <w:highlight w:val="none"/>
          <w:lang w:val="en-US" w:eastAsia="zh-CN"/>
        </w:rPr>
        <w:t>80</w:t>
      </w:r>
      <w:r>
        <w:rPr>
          <w:rFonts w:hint="eastAsia" w:cs="Times New Roman"/>
          <w:color w:val="auto"/>
          <w:sz w:val="24"/>
          <w:highlight w:val="none"/>
        </w:rPr>
        <w:t>分、商务报价</w:t>
      </w:r>
      <w:r>
        <w:rPr>
          <w:rFonts w:hint="eastAsia" w:cs="Times New Roman"/>
          <w:color w:val="auto"/>
          <w:sz w:val="24"/>
          <w:highlight w:val="none"/>
          <w:lang w:val="en-US" w:eastAsia="zh-CN"/>
        </w:rPr>
        <w:t>20</w:t>
      </w:r>
      <w:r>
        <w:rPr>
          <w:rFonts w:hint="eastAsia" w:cs="Times New Roman"/>
          <w:color w:val="auto"/>
          <w:sz w:val="24"/>
          <w:highlight w:val="none"/>
        </w:rPr>
        <w:t>分。</w:t>
      </w:r>
    </w:p>
    <w:p w14:paraId="7A25A9F0">
      <w:pPr>
        <w:spacing w:before="56" w:line="389" w:lineRule="exact"/>
        <w:ind w:left="144"/>
        <w:outlineLvl w:val="6"/>
        <w:rPr>
          <w:rFonts w:hint="eastAsia" w:ascii="宋体" w:hAnsi="宋体"/>
          <w:b/>
          <w:color w:val="auto"/>
          <w:sz w:val="24"/>
          <w:highlight w:val="none"/>
        </w:rPr>
      </w:pPr>
      <w:r>
        <w:rPr>
          <w:rFonts w:hint="eastAsia" w:ascii="宋体" w:hAnsi="宋体"/>
          <w:b/>
          <w:color w:val="auto"/>
          <w:sz w:val="24"/>
          <w:highlight w:val="none"/>
        </w:rPr>
        <w:t>1、技术评审 (总分</w:t>
      </w:r>
      <w:r>
        <w:rPr>
          <w:rFonts w:hint="eastAsia" w:ascii="宋体" w:hAnsi="宋体"/>
          <w:b/>
          <w:color w:val="auto"/>
          <w:sz w:val="24"/>
          <w:highlight w:val="none"/>
          <w:lang w:val="en-US" w:eastAsia="zh-CN"/>
        </w:rPr>
        <w:t>80</w:t>
      </w:r>
      <w:r>
        <w:rPr>
          <w:rFonts w:hint="eastAsia" w:ascii="宋体" w:hAnsi="宋体"/>
          <w:b/>
          <w:color w:val="auto"/>
          <w:sz w:val="24"/>
          <w:highlight w:val="none"/>
        </w:rPr>
        <w:t>分)</w:t>
      </w:r>
    </w:p>
    <w:p w14:paraId="610123FA">
      <w:pPr>
        <w:spacing w:before="185" w:line="380" w:lineRule="auto"/>
        <w:ind w:left="143" w:right="368" w:firstLine="506"/>
        <w:rPr>
          <w:rFonts w:ascii="宋体" w:hAnsi="宋体" w:eastAsia="宋体" w:cs="宋体"/>
          <w:color w:val="auto"/>
          <w:sz w:val="23"/>
          <w:szCs w:val="23"/>
          <w:highlight w:val="none"/>
        </w:rPr>
      </w:pPr>
      <w:r>
        <w:rPr>
          <w:color w:val="auto"/>
          <w:sz w:val="24"/>
          <w:highlight w:val="none"/>
        </w:rPr>
        <w:t>评标</w:t>
      </w:r>
      <w:r>
        <w:rPr>
          <w:rFonts w:hint="eastAsia"/>
          <w:color w:val="auto"/>
          <w:sz w:val="24"/>
          <w:highlight w:val="none"/>
          <w:lang w:val="en-US" w:eastAsia="zh-CN"/>
        </w:rPr>
        <w:t>小组</w:t>
      </w:r>
      <w:r>
        <w:rPr>
          <w:color w:val="auto"/>
          <w:sz w:val="24"/>
          <w:highlight w:val="none"/>
        </w:rPr>
        <w:t>根据评分细则，对各投标人的技术部分进行书面审核和评论后，由各专家独立酌情给分，打分时保留小数1位，每人一份评分表，并签名。在统计得分时，如果发现某一单项评分超过评分标准规定的分值范围，则该张评分表无效。投标人最终得分为评标</w:t>
      </w:r>
      <w:r>
        <w:rPr>
          <w:rFonts w:hint="eastAsia"/>
          <w:color w:val="auto"/>
          <w:sz w:val="24"/>
          <w:highlight w:val="none"/>
          <w:lang w:val="en-US" w:eastAsia="zh-CN"/>
        </w:rPr>
        <w:t>小组</w:t>
      </w:r>
      <w:r>
        <w:rPr>
          <w:color w:val="auto"/>
          <w:sz w:val="24"/>
          <w:highlight w:val="none"/>
        </w:rPr>
        <w:t>所有成员的有效评分的算术平均值，计算时保留小数2位。</w:t>
      </w:r>
    </w:p>
    <w:p w14:paraId="73D9E3C8">
      <w:pPr>
        <w:spacing w:line="251" w:lineRule="auto"/>
        <w:rPr>
          <w:rFonts w:ascii="Arial"/>
          <w:color w:val="auto"/>
          <w:sz w:val="21"/>
          <w:highlight w:val="none"/>
        </w:rPr>
      </w:pP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1307"/>
        <w:gridCol w:w="1203"/>
        <w:gridCol w:w="5894"/>
        <w:gridCol w:w="924"/>
      </w:tblGrid>
      <w:tr w14:paraId="119A4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394" w:type="pct"/>
            <w:shd w:val="clear" w:color="auto" w:fill="auto"/>
            <w:vAlign w:val="center"/>
          </w:tcPr>
          <w:p w14:paraId="05AB2D72">
            <w:pPr>
              <w:jc w:val="center"/>
              <w:rPr>
                <w:rFonts w:hint="eastAsia"/>
                <w:color w:val="auto"/>
                <w:sz w:val="24"/>
                <w:szCs w:val="24"/>
              </w:rPr>
            </w:pPr>
            <w:r>
              <w:rPr>
                <w:rFonts w:hint="eastAsia"/>
                <w:color w:val="auto"/>
                <w:sz w:val="24"/>
                <w:szCs w:val="24"/>
              </w:rPr>
              <w:t>序号</w:t>
            </w:r>
          </w:p>
        </w:tc>
        <w:tc>
          <w:tcPr>
            <w:tcW w:w="645" w:type="pct"/>
            <w:shd w:val="clear" w:color="auto" w:fill="auto"/>
            <w:vAlign w:val="center"/>
          </w:tcPr>
          <w:p w14:paraId="12FB2A23">
            <w:pPr>
              <w:jc w:val="center"/>
              <w:rPr>
                <w:rFonts w:hint="eastAsia"/>
                <w:color w:val="auto"/>
                <w:sz w:val="24"/>
                <w:szCs w:val="24"/>
              </w:rPr>
            </w:pPr>
            <w:r>
              <w:rPr>
                <w:rFonts w:hint="eastAsia"/>
                <w:color w:val="auto"/>
                <w:sz w:val="24"/>
                <w:szCs w:val="24"/>
              </w:rPr>
              <w:t>评分项</w:t>
            </w:r>
          </w:p>
        </w:tc>
        <w:tc>
          <w:tcPr>
            <w:tcW w:w="594" w:type="pct"/>
            <w:shd w:val="clear" w:color="auto" w:fill="auto"/>
            <w:vAlign w:val="center"/>
          </w:tcPr>
          <w:p w14:paraId="488C2B46">
            <w:pPr>
              <w:jc w:val="center"/>
              <w:rPr>
                <w:rFonts w:hint="eastAsia"/>
                <w:color w:val="auto"/>
                <w:sz w:val="24"/>
                <w:szCs w:val="24"/>
                <w:lang w:eastAsia="zh-CN"/>
              </w:rPr>
            </w:pPr>
            <w:r>
              <w:rPr>
                <w:rFonts w:hint="eastAsia"/>
                <w:color w:val="auto"/>
                <w:sz w:val="24"/>
                <w:szCs w:val="24"/>
                <w:lang w:val="en-US" w:eastAsia="zh-CN"/>
              </w:rPr>
              <w:t>类型</w:t>
            </w:r>
          </w:p>
        </w:tc>
        <w:tc>
          <w:tcPr>
            <w:tcW w:w="2910" w:type="pct"/>
            <w:shd w:val="clear" w:color="auto" w:fill="auto"/>
            <w:vAlign w:val="center"/>
          </w:tcPr>
          <w:p w14:paraId="4464FCDD">
            <w:pPr>
              <w:jc w:val="center"/>
              <w:rPr>
                <w:rFonts w:hint="eastAsia"/>
                <w:color w:val="auto"/>
                <w:sz w:val="24"/>
                <w:szCs w:val="24"/>
              </w:rPr>
            </w:pPr>
            <w:r>
              <w:rPr>
                <w:rFonts w:hint="eastAsia"/>
                <w:color w:val="auto"/>
                <w:sz w:val="24"/>
                <w:szCs w:val="24"/>
              </w:rPr>
              <w:t>评审因素</w:t>
            </w:r>
          </w:p>
        </w:tc>
        <w:tc>
          <w:tcPr>
            <w:tcW w:w="456" w:type="pct"/>
            <w:shd w:val="clear" w:color="auto" w:fill="auto"/>
            <w:vAlign w:val="center"/>
          </w:tcPr>
          <w:p w14:paraId="71457B5B">
            <w:pPr>
              <w:jc w:val="center"/>
              <w:rPr>
                <w:rFonts w:hint="eastAsia"/>
                <w:color w:val="auto"/>
                <w:sz w:val="24"/>
                <w:szCs w:val="24"/>
              </w:rPr>
            </w:pPr>
            <w:r>
              <w:rPr>
                <w:rFonts w:hint="eastAsia"/>
                <w:color w:val="auto"/>
                <w:sz w:val="24"/>
                <w:szCs w:val="24"/>
              </w:rPr>
              <w:t>分值</w:t>
            </w:r>
          </w:p>
        </w:tc>
      </w:tr>
      <w:tr w14:paraId="265D3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394" w:type="pct"/>
            <w:shd w:val="clear" w:color="auto" w:fill="auto"/>
            <w:vAlign w:val="center"/>
          </w:tcPr>
          <w:p w14:paraId="2F8597DD">
            <w:pPr>
              <w:jc w:val="center"/>
              <w:rPr>
                <w:rFonts w:hint="default"/>
                <w:color w:val="auto"/>
                <w:sz w:val="24"/>
                <w:szCs w:val="24"/>
                <w:lang w:val="en-US" w:eastAsia="zh-CN"/>
              </w:rPr>
            </w:pPr>
            <w:r>
              <w:rPr>
                <w:rFonts w:hint="eastAsia"/>
                <w:color w:val="auto"/>
                <w:sz w:val="24"/>
                <w:szCs w:val="24"/>
                <w:lang w:val="en-US" w:eastAsia="zh-CN"/>
              </w:rPr>
              <w:t>1</w:t>
            </w:r>
          </w:p>
        </w:tc>
        <w:tc>
          <w:tcPr>
            <w:tcW w:w="645" w:type="pct"/>
            <w:shd w:val="clear" w:color="auto" w:fill="auto"/>
            <w:vAlign w:val="center"/>
          </w:tcPr>
          <w:p w14:paraId="51D880E2">
            <w:pPr>
              <w:jc w:val="center"/>
              <w:rPr>
                <w:rFonts w:hint="eastAsia"/>
                <w:color w:val="auto"/>
                <w:sz w:val="24"/>
                <w:szCs w:val="24"/>
              </w:rPr>
            </w:pPr>
            <w:r>
              <w:rPr>
                <w:rFonts w:hint="eastAsia"/>
                <w:color w:val="auto"/>
                <w:sz w:val="24"/>
                <w:szCs w:val="24"/>
              </w:rPr>
              <w:t>业绩</w:t>
            </w:r>
          </w:p>
          <w:p w14:paraId="25887567">
            <w:pPr>
              <w:jc w:val="center"/>
              <w:rPr>
                <w:rFonts w:hint="eastAsia"/>
                <w:color w:val="auto"/>
                <w:sz w:val="24"/>
                <w:szCs w:val="24"/>
              </w:rPr>
            </w:pPr>
            <w:r>
              <w:rPr>
                <w:rFonts w:hint="eastAsia"/>
                <w:color w:val="auto"/>
                <w:sz w:val="24"/>
                <w:szCs w:val="24"/>
              </w:rPr>
              <w:t>（</w:t>
            </w:r>
            <w:r>
              <w:rPr>
                <w:rFonts w:hint="eastAsia"/>
                <w:color w:val="auto"/>
                <w:sz w:val="24"/>
                <w:szCs w:val="24"/>
                <w:lang w:val="en-US" w:eastAsia="zh-CN"/>
              </w:rPr>
              <w:t>20</w:t>
            </w:r>
            <w:r>
              <w:rPr>
                <w:rFonts w:hint="eastAsia"/>
                <w:color w:val="auto"/>
                <w:sz w:val="24"/>
                <w:szCs w:val="24"/>
              </w:rPr>
              <w:t>分）</w:t>
            </w:r>
          </w:p>
        </w:tc>
        <w:tc>
          <w:tcPr>
            <w:tcW w:w="594" w:type="pct"/>
            <w:shd w:val="clear" w:color="auto" w:fill="auto"/>
            <w:vAlign w:val="center"/>
          </w:tcPr>
          <w:p w14:paraId="31C3E4F8">
            <w:pPr>
              <w:jc w:val="center"/>
              <w:rPr>
                <w:rFonts w:hint="eastAsia"/>
                <w:color w:val="auto"/>
                <w:sz w:val="24"/>
                <w:szCs w:val="24"/>
                <w:lang w:val="en-US" w:eastAsia="zh-CN"/>
              </w:rPr>
            </w:pPr>
            <w:r>
              <w:rPr>
                <w:rFonts w:hint="eastAsia"/>
                <w:color w:val="auto"/>
                <w:sz w:val="24"/>
                <w:szCs w:val="24"/>
                <w:lang w:val="en-US" w:eastAsia="zh-CN"/>
              </w:rPr>
              <w:t>客观分</w:t>
            </w:r>
          </w:p>
        </w:tc>
        <w:tc>
          <w:tcPr>
            <w:tcW w:w="2910" w:type="pct"/>
            <w:shd w:val="clear" w:color="auto" w:fill="auto"/>
            <w:vAlign w:val="center"/>
          </w:tcPr>
          <w:p w14:paraId="73F7D1C8">
            <w:pPr>
              <w:jc w:val="center"/>
              <w:rPr>
                <w:rFonts w:hint="eastAsia"/>
                <w:color w:val="auto"/>
                <w:sz w:val="24"/>
                <w:szCs w:val="24"/>
              </w:rPr>
            </w:pPr>
            <w:r>
              <w:rPr>
                <w:rFonts w:hint="eastAsia"/>
                <w:color w:val="auto"/>
                <w:sz w:val="24"/>
                <w:szCs w:val="24"/>
                <w:lang w:val="en-US" w:eastAsia="zh-CN"/>
              </w:rPr>
              <w:t>自2023年1月1日起，投标人承担的</w:t>
            </w:r>
            <w:r>
              <w:rPr>
                <w:rFonts w:hint="eastAsia"/>
                <w:color w:val="auto"/>
                <w:sz w:val="24"/>
                <w:szCs w:val="24"/>
              </w:rPr>
              <w:t>同类项目业绩</w:t>
            </w:r>
            <w:r>
              <w:rPr>
                <w:rFonts w:hint="eastAsia"/>
                <w:color w:val="auto"/>
                <w:sz w:val="24"/>
                <w:szCs w:val="24"/>
                <w:lang w:eastAsia="zh-CN"/>
              </w:rPr>
              <w:t>（</w:t>
            </w:r>
            <w:r>
              <w:rPr>
                <w:rFonts w:hint="eastAsia"/>
                <w:color w:val="auto"/>
                <w:sz w:val="24"/>
                <w:szCs w:val="24"/>
              </w:rPr>
              <w:t>要求提供合同复印件</w:t>
            </w:r>
            <w:r>
              <w:rPr>
                <w:rFonts w:hint="eastAsia"/>
                <w:color w:val="auto"/>
                <w:sz w:val="24"/>
                <w:szCs w:val="24"/>
                <w:lang w:eastAsia="zh-CN"/>
              </w:rPr>
              <w:t>）</w:t>
            </w:r>
            <w:r>
              <w:rPr>
                <w:rFonts w:hint="eastAsia"/>
                <w:color w:val="auto"/>
                <w:sz w:val="24"/>
                <w:szCs w:val="24"/>
              </w:rPr>
              <w:t>，</w:t>
            </w:r>
            <w:r>
              <w:rPr>
                <w:rFonts w:hint="eastAsia"/>
                <w:color w:val="auto"/>
                <w:sz w:val="24"/>
                <w:szCs w:val="24"/>
                <w:lang w:val="en-US" w:eastAsia="zh-CN"/>
              </w:rPr>
              <w:t>每个业绩得5分，最高得20分。同类项目指</w:t>
            </w:r>
            <w:r>
              <w:rPr>
                <w:rFonts w:hint="eastAsia"/>
                <w:color w:val="auto"/>
                <w:sz w:val="24"/>
                <w:szCs w:val="24"/>
              </w:rPr>
              <w:t>医院 / 医疗卫生建筑代建或全过程咨询</w:t>
            </w:r>
            <w:r>
              <w:rPr>
                <w:rFonts w:hint="eastAsia"/>
                <w:color w:val="auto"/>
                <w:sz w:val="24"/>
                <w:szCs w:val="24"/>
                <w:lang w:val="en-US" w:eastAsia="zh-CN"/>
              </w:rPr>
              <w:t>项目；</w:t>
            </w:r>
          </w:p>
        </w:tc>
        <w:tc>
          <w:tcPr>
            <w:tcW w:w="456" w:type="pct"/>
            <w:shd w:val="clear" w:color="auto" w:fill="auto"/>
            <w:vAlign w:val="center"/>
          </w:tcPr>
          <w:p w14:paraId="5A1934A9">
            <w:pPr>
              <w:jc w:val="both"/>
              <w:rPr>
                <w:rFonts w:hint="eastAsia"/>
                <w:color w:val="auto"/>
                <w:sz w:val="24"/>
                <w:szCs w:val="24"/>
                <w:lang w:val="en-US" w:eastAsia="zh-CN"/>
              </w:rPr>
            </w:pPr>
            <w:r>
              <w:rPr>
                <w:rFonts w:hint="eastAsia"/>
                <w:color w:val="auto"/>
                <w:sz w:val="24"/>
                <w:szCs w:val="24"/>
                <w:lang w:val="en-US" w:eastAsia="zh-CN"/>
              </w:rPr>
              <w:t>20</w:t>
            </w:r>
            <w:r>
              <w:rPr>
                <w:rFonts w:hint="eastAsia"/>
                <w:color w:val="auto"/>
                <w:sz w:val="24"/>
                <w:szCs w:val="24"/>
              </w:rPr>
              <w:t>分</w:t>
            </w:r>
          </w:p>
        </w:tc>
      </w:tr>
      <w:tr w14:paraId="39BE1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394" w:type="pct"/>
            <w:vMerge w:val="restart"/>
            <w:shd w:val="clear" w:color="auto" w:fill="auto"/>
            <w:vAlign w:val="center"/>
          </w:tcPr>
          <w:p w14:paraId="4519A91C">
            <w:pPr>
              <w:jc w:val="center"/>
              <w:rPr>
                <w:rFonts w:hint="default"/>
                <w:color w:val="auto"/>
                <w:sz w:val="24"/>
                <w:szCs w:val="24"/>
                <w:lang w:val="en-US" w:eastAsia="zh-CN"/>
              </w:rPr>
            </w:pPr>
            <w:r>
              <w:rPr>
                <w:rFonts w:hint="eastAsia"/>
                <w:color w:val="auto"/>
                <w:sz w:val="24"/>
                <w:szCs w:val="24"/>
                <w:lang w:val="en-US" w:eastAsia="zh-CN"/>
              </w:rPr>
              <w:t>2</w:t>
            </w:r>
          </w:p>
        </w:tc>
        <w:tc>
          <w:tcPr>
            <w:tcW w:w="645" w:type="pct"/>
            <w:vMerge w:val="restart"/>
            <w:shd w:val="clear" w:color="auto" w:fill="auto"/>
            <w:vAlign w:val="center"/>
          </w:tcPr>
          <w:p w14:paraId="724A81C1">
            <w:pPr>
              <w:jc w:val="center"/>
              <w:rPr>
                <w:rFonts w:hint="eastAsia"/>
                <w:color w:val="auto"/>
                <w:sz w:val="24"/>
                <w:szCs w:val="24"/>
                <w:lang w:val="en-US" w:eastAsia="zh-CN"/>
              </w:rPr>
            </w:pPr>
            <w:r>
              <w:rPr>
                <w:rFonts w:hint="eastAsia"/>
                <w:color w:val="auto"/>
                <w:sz w:val="24"/>
                <w:szCs w:val="24"/>
                <w:lang w:val="en-US" w:eastAsia="zh-CN"/>
              </w:rPr>
              <w:t>项目管理团队配置</w:t>
            </w:r>
          </w:p>
          <w:p w14:paraId="140C2994">
            <w:pPr>
              <w:jc w:val="center"/>
              <w:rPr>
                <w:rFonts w:hint="default"/>
                <w:color w:val="auto"/>
                <w:sz w:val="24"/>
                <w:szCs w:val="24"/>
                <w:lang w:val="en-US" w:eastAsia="zh-CN"/>
              </w:rPr>
            </w:pPr>
            <w:r>
              <w:rPr>
                <w:rFonts w:hint="eastAsia"/>
                <w:color w:val="auto"/>
                <w:sz w:val="24"/>
                <w:szCs w:val="24"/>
              </w:rPr>
              <w:t>（</w:t>
            </w:r>
            <w:r>
              <w:rPr>
                <w:rFonts w:hint="eastAsia"/>
                <w:color w:val="auto"/>
                <w:sz w:val="24"/>
                <w:szCs w:val="24"/>
                <w:lang w:val="en-US" w:eastAsia="zh-CN"/>
              </w:rPr>
              <w:t>20</w:t>
            </w:r>
            <w:r>
              <w:rPr>
                <w:rFonts w:hint="eastAsia"/>
                <w:color w:val="auto"/>
                <w:sz w:val="24"/>
                <w:szCs w:val="24"/>
              </w:rPr>
              <w:t>分）</w:t>
            </w:r>
          </w:p>
        </w:tc>
        <w:tc>
          <w:tcPr>
            <w:tcW w:w="594" w:type="pct"/>
            <w:shd w:val="clear" w:color="auto" w:fill="auto"/>
            <w:vAlign w:val="center"/>
          </w:tcPr>
          <w:p w14:paraId="51CBA6CA">
            <w:pPr>
              <w:jc w:val="center"/>
              <w:rPr>
                <w:rFonts w:hint="default"/>
                <w:color w:val="auto"/>
                <w:sz w:val="24"/>
                <w:szCs w:val="24"/>
                <w:lang w:val="en-US" w:eastAsia="zh-CN"/>
              </w:rPr>
            </w:pPr>
            <w:r>
              <w:rPr>
                <w:rFonts w:hint="eastAsia"/>
                <w:color w:val="auto"/>
                <w:sz w:val="24"/>
                <w:szCs w:val="24"/>
                <w:lang w:val="en-US" w:eastAsia="zh-CN"/>
              </w:rPr>
              <w:t>客观分</w:t>
            </w:r>
          </w:p>
        </w:tc>
        <w:tc>
          <w:tcPr>
            <w:tcW w:w="2910" w:type="pct"/>
            <w:shd w:val="clear" w:color="auto" w:fill="auto"/>
            <w:vAlign w:val="center"/>
          </w:tcPr>
          <w:p w14:paraId="2E409139">
            <w:pPr>
              <w:jc w:val="center"/>
              <w:rPr>
                <w:rFonts w:hint="eastAsia" w:eastAsia="宋体"/>
                <w:color w:val="auto"/>
                <w:sz w:val="24"/>
                <w:szCs w:val="24"/>
                <w:lang w:eastAsia="zh-CN"/>
              </w:rPr>
            </w:pPr>
            <w:r>
              <w:rPr>
                <w:rFonts w:hint="eastAsia"/>
                <w:color w:val="auto"/>
                <w:sz w:val="24"/>
                <w:szCs w:val="24"/>
              </w:rPr>
              <w:t>项目负责人</w:t>
            </w:r>
            <w:r>
              <w:rPr>
                <w:rFonts w:hint="eastAsia"/>
                <w:color w:val="auto"/>
                <w:sz w:val="24"/>
                <w:szCs w:val="24"/>
                <w:lang w:eastAsia="zh-CN"/>
              </w:rPr>
              <w:t>：</w:t>
            </w:r>
            <w:r>
              <w:rPr>
                <w:rFonts w:hint="eastAsia"/>
                <w:color w:val="auto"/>
                <w:sz w:val="24"/>
                <w:szCs w:val="24"/>
              </w:rPr>
              <w:t>具备高级工程师职称</w:t>
            </w:r>
            <w:r>
              <w:rPr>
                <w:rFonts w:hint="eastAsia"/>
                <w:color w:val="auto"/>
                <w:sz w:val="24"/>
                <w:szCs w:val="24"/>
                <w:lang w:eastAsia="zh-CN"/>
              </w:rPr>
              <w:t>（</w:t>
            </w:r>
            <w:r>
              <w:rPr>
                <w:rFonts w:hint="eastAsia"/>
                <w:color w:val="auto"/>
                <w:sz w:val="24"/>
                <w:szCs w:val="24"/>
                <w:lang w:val="en-US" w:eastAsia="zh-CN"/>
              </w:rPr>
              <w:t>5分</w:t>
            </w:r>
            <w:r>
              <w:rPr>
                <w:rFonts w:hint="eastAsia"/>
                <w:color w:val="auto"/>
                <w:sz w:val="24"/>
                <w:szCs w:val="24"/>
                <w:lang w:eastAsia="zh-CN"/>
              </w:rPr>
              <w:t>）</w:t>
            </w:r>
            <w:r>
              <w:rPr>
                <w:rFonts w:hint="eastAsia"/>
                <w:color w:val="auto"/>
                <w:sz w:val="24"/>
                <w:szCs w:val="24"/>
              </w:rPr>
              <w:t>；拥有医院基建代建项目负责人业绩</w:t>
            </w:r>
            <w:r>
              <w:rPr>
                <w:rFonts w:hint="eastAsia"/>
                <w:color w:val="auto"/>
                <w:sz w:val="24"/>
                <w:szCs w:val="24"/>
                <w:lang w:eastAsia="zh-CN"/>
              </w:rPr>
              <w:t>（</w:t>
            </w:r>
            <w:r>
              <w:rPr>
                <w:rFonts w:hint="eastAsia"/>
                <w:color w:val="auto"/>
                <w:sz w:val="24"/>
                <w:szCs w:val="24"/>
                <w:lang w:val="en-US" w:eastAsia="zh-CN"/>
              </w:rPr>
              <w:t>5分</w:t>
            </w:r>
            <w:r>
              <w:rPr>
                <w:rFonts w:hint="eastAsia"/>
                <w:color w:val="auto"/>
                <w:sz w:val="24"/>
                <w:szCs w:val="24"/>
                <w:lang w:eastAsia="zh-CN"/>
              </w:rPr>
              <w:t>）</w:t>
            </w:r>
            <w:r>
              <w:rPr>
                <w:rFonts w:hint="eastAsia"/>
                <w:color w:val="auto"/>
                <w:sz w:val="24"/>
                <w:szCs w:val="24"/>
              </w:rPr>
              <w:t>。提供社保缴纳证明</w:t>
            </w:r>
            <w:r>
              <w:rPr>
                <w:rFonts w:hint="eastAsia"/>
                <w:color w:val="auto"/>
                <w:sz w:val="24"/>
                <w:szCs w:val="24"/>
                <w:lang w:eastAsia="zh-CN"/>
              </w:rPr>
              <w:t>；</w:t>
            </w:r>
          </w:p>
        </w:tc>
        <w:tc>
          <w:tcPr>
            <w:tcW w:w="456" w:type="pct"/>
            <w:shd w:val="clear" w:color="auto" w:fill="auto"/>
            <w:vAlign w:val="center"/>
          </w:tcPr>
          <w:p w14:paraId="18F23DD3">
            <w:pPr>
              <w:jc w:val="both"/>
              <w:rPr>
                <w:rFonts w:hint="eastAsia"/>
                <w:color w:val="auto"/>
                <w:sz w:val="24"/>
                <w:szCs w:val="24"/>
                <w:lang w:val="en-US" w:eastAsia="zh-CN"/>
              </w:rPr>
            </w:pPr>
            <w:r>
              <w:rPr>
                <w:rFonts w:hint="eastAsia"/>
                <w:color w:val="auto"/>
                <w:sz w:val="24"/>
                <w:szCs w:val="24"/>
              </w:rPr>
              <w:t>10分</w:t>
            </w:r>
          </w:p>
        </w:tc>
      </w:tr>
      <w:tr w14:paraId="1FA92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394" w:type="pct"/>
            <w:vMerge w:val="continue"/>
            <w:shd w:val="clear" w:color="auto" w:fill="auto"/>
            <w:vAlign w:val="center"/>
          </w:tcPr>
          <w:p w14:paraId="36388165">
            <w:pPr>
              <w:jc w:val="center"/>
              <w:rPr>
                <w:rFonts w:hint="eastAsia"/>
                <w:color w:val="auto"/>
                <w:sz w:val="24"/>
                <w:szCs w:val="24"/>
                <w:lang w:val="en-US" w:eastAsia="zh-CN"/>
              </w:rPr>
            </w:pPr>
          </w:p>
        </w:tc>
        <w:tc>
          <w:tcPr>
            <w:tcW w:w="645" w:type="pct"/>
            <w:vMerge w:val="continue"/>
            <w:shd w:val="clear" w:color="auto" w:fill="auto"/>
            <w:vAlign w:val="center"/>
          </w:tcPr>
          <w:p w14:paraId="763B2531">
            <w:pPr>
              <w:jc w:val="center"/>
              <w:rPr>
                <w:rFonts w:hint="eastAsia"/>
                <w:color w:val="auto"/>
                <w:sz w:val="24"/>
                <w:szCs w:val="24"/>
              </w:rPr>
            </w:pPr>
          </w:p>
        </w:tc>
        <w:tc>
          <w:tcPr>
            <w:tcW w:w="594" w:type="pct"/>
            <w:shd w:val="clear" w:color="auto" w:fill="auto"/>
            <w:vAlign w:val="center"/>
          </w:tcPr>
          <w:p w14:paraId="4D5385AB">
            <w:pPr>
              <w:jc w:val="center"/>
              <w:rPr>
                <w:rFonts w:hint="eastAsia"/>
                <w:color w:val="auto"/>
                <w:sz w:val="24"/>
                <w:szCs w:val="24"/>
                <w:lang w:val="en-US" w:eastAsia="zh-CN"/>
              </w:rPr>
            </w:pPr>
            <w:r>
              <w:rPr>
                <w:rFonts w:hint="eastAsia"/>
                <w:color w:val="auto"/>
                <w:sz w:val="24"/>
                <w:szCs w:val="24"/>
                <w:lang w:val="en-US" w:eastAsia="zh-CN"/>
              </w:rPr>
              <w:t>客观分</w:t>
            </w:r>
          </w:p>
        </w:tc>
        <w:tc>
          <w:tcPr>
            <w:tcW w:w="2910" w:type="pct"/>
            <w:shd w:val="clear" w:color="auto" w:fill="auto"/>
            <w:vAlign w:val="center"/>
          </w:tcPr>
          <w:p w14:paraId="0FB7D0BC">
            <w:pPr>
              <w:jc w:val="center"/>
              <w:rPr>
                <w:rFonts w:hint="default" w:eastAsia="宋体"/>
                <w:color w:val="auto"/>
                <w:sz w:val="24"/>
                <w:szCs w:val="24"/>
                <w:lang w:val="en-US" w:eastAsia="zh-CN"/>
              </w:rPr>
            </w:pPr>
            <w:r>
              <w:rPr>
                <w:rFonts w:hint="eastAsia"/>
                <w:color w:val="auto"/>
                <w:sz w:val="24"/>
                <w:szCs w:val="24"/>
              </w:rPr>
              <w:t>核心专业人员配置</w:t>
            </w:r>
            <w:r>
              <w:rPr>
                <w:rFonts w:hint="eastAsia"/>
                <w:color w:val="auto"/>
                <w:sz w:val="24"/>
                <w:szCs w:val="24"/>
                <w:lang w:eastAsia="zh-CN"/>
              </w:rPr>
              <w:t>：</w:t>
            </w:r>
            <w:r>
              <w:rPr>
                <w:rFonts w:hint="eastAsia"/>
                <w:color w:val="auto"/>
                <w:sz w:val="24"/>
                <w:szCs w:val="24"/>
              </w:rPr>
              <w:t>配备建筑、结构、造价、弱电（医疗专项）、安全管理等专职人员；</w:t>
            </w:r>
            <w:r>
              <w:rPr>
                <w:rFonts w:hint="eastAsia"/>
                <w:color w:val="auto"/>
                <w:sz w:val="24"/>
                <w:szCs w:val="24"/>
                <w:lang w:val="en-US" w:eastAsia="zh-CN"/>
              </w:rPr>
              <w:t>每缺一个岗位扣2分。提供社保缴纳证明；</w:t>
            </w:r>
          </w:p>
        </w:tc>
        <w:tc>
          <w:tcPr>
            <w:tcW w:w="456" w:type="pct"/>
            <w:shd w:val="clear" w:color="auto" w:fill="auto"/>
            <w:vAlign w:val="center"/>
          </w:tcPr>
          <w:p w14:paraId="683841FD">
            <w:pPr>
              <w:jc w:val="center"/>
              <w:rPr>
                <w:rFonts w:hint="default"/>
                <w:color w:val="auto"/>
                <w:sz w:val="24"/>
                <w:szCs w:val="24"/>
                <w:lang w:val="en-US" w:eastAsia="zh-CN"/>
              </w:rPr>
            </w:pPr>
            <w:r>
              <w:rPr>
                <w:rFonts w:hint="eastAsia"/>
                <w:color w:val="auto"/>
                <w:sz w:val="24"/>
                <w:szCs w:val="24"/>
                <w:lang w:val="en-US" w:eastAsia="zh-CN"/>
              </w:rPr>
              <w:t>10分</w:t>
            </w:r>
          </w:p>
        </w:tc>
      </w:tr>
      <w:tr w14:paraId="57349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394" w:type="pct"/>
            <w:vMerge w:val="restart"/>
            <w:shd w:val="clear" w:color="auto" w:fill="auto"/>
            <w:vAlign w:val="center"/>
          </w:tcPr>
          <w:p w14:paraId="675A695F">
            <w:pPr>
              <w:jc w:val="center"/>
              <w:rPr>
                <w:rFonts w:hint="default"/>
                <w:color w:val="auto"/>
                <w:sz w:val="24"/>
                <w:szCs w:val="24"/>
                <w:lang w:val="en-US" w:eastAsia="zh-CN"/>
              </w:rPr>
            </w:pPr>
            <w:r>
              <w:rPr>
                <w:rFonts w:hint="eastAsia"/>
                <w:color w:val="auto"/>
                <w:sz w:val="24"/>
                <w:szCs w:val="24"/>
                <w:lang w:val="en-US" w:eastAsia="zh-CN"/>
              </w:rPr>
              <w:t>3</w:t>
            </w:r>
          </w:p>
        </w:tc>
        <w:tc>
          <w:tcPr>
            <w:tcW w:w="645" w:type="pct"/>
            <w:vMerge w:val="restart"/>
            <w:shd w:val="clear" w:color="auto" w:fill="auto"/>
            <w:vAlign w:val="center"/>
          </w:tcPr>
          <w:p w14:paraId="5B554924">
            <w:pPr>
              <w:jc w:val="center"/>
              <w:rPr>
                <w:rFonts w:hint="eastAsia"/>
                <w:color w:val="auto"/>
                <w:sz w:val="24"/>
                <w:szCs w:val="24"/>
              </w:rPr>
            </w:pPr>
            <w:r>
              <w:rPr>
                <w:rFonts w:hint="eastAsia"/>
                <w:color w:val="auto"/>
                <w:sz w:val="24"/>
                <w:szCs w:val="24"/>
                <w:lang w:val="en-US" w:eastAsia="zh-CN"/>
              </w:rPr>
              <w:t>项目管理</w:t>
            </w:r>
            <w:r>
              <w:rPr>
                <w:rFonts w:hint="eastAsia"/>
                <w:color w:val="auto"/>
                <w:sz w:val="24"/>
                <w:szCs w:val="24"/>
              </w:rPr>
              <w:t>方案</w:t>
            </w:r>
          </w:p>
          <w:p w14:paraId="4E856751">
            <w:pPr>
              <w:jc w:val="center"/>
              <w:rPr>
                <w:rFonts w:hint="eastAsia" w:eastAsia="宋体"/>
                <w:color w:val="auto"/>
                <w:sz w:val="24"/>
                <w:szCs w:val="24"/>
                <w:lang w:eastAsia="zh-CN"/>
              </w:rPr>
            </w:pPr>
            <w:r>
              <w:rPr>
                <w:rFonts w:hint="eastAsia"/>
                <w:color w:val="auto"/>
                <w:sz w:val="24"/>
                <w:szCs w:val="24"/>
                <w:lang w:eastAsia="zh-CN"/>
              </w:rPr>
              <w:t>（</w:t>
            </w:r>
            <w:r>
              <w:rPr>
                <w:rFonts w:hint="eastAsia"/>
                <w:color w:val="auto"/>
                <w:sz w:val="24"/>
                <w:szCs w:val="24"/>
                <w:lang w:val="en-US" w:eastAsia="zh-CN"/>
              </w:rPr>
              <w:t>40分</w:t>
            </w:r>
            <w:r>
              <w:rPr>
                <w:rFonts w:hint="eastAsia"/>
                <w:color w:val="auto"/>
                <w:sz w:val="24"/>
                <w:szCs w:val="24"/>
                <w:lang w:eastAsia="zh-CN"/>
              </w:rPr>
              <w:t>）</w:t>
            </w:r>
          </w:p>
        </w:tc>
        <w:tc>
          <w:tcPr>
            <w:tcW w:w="594" w:type="pct"/>
            <w:shd w:val="clear" w:color="auto" w:fill="auto"/>
            <w:vAlign w:val="center"/>
          </w:tcPr>
          <w:p w14:paraId="5EB0B30D">
            <w:pPr>
              <w:jc w:val="center"/>
              <w:rPr>
                <w:rFonts w:hint="default"/>
                <w:color w:val="auto"/>
                <w:sz w:val="24"/>
                <w:szCs w:val="24"/>
                <w:lang w:val="en-US" w:eastAsia="zh-CN"/>
              </w:rPr>
            </w:pPr>
            <w:r>
              <w:rPr>
                <w:rFonts w:hint="eastAsia"/>
                <w:color w:val="auto"/>
                <w:sz w:val="24"/>
                <w:szCs w:val="24"/>
                <w:lang w:val="en-US" w:eastAsia="zh-CN"/>
              </w:rPr>
              <w:t>主观分</w:t>
            </w:r>
          </w:p>
        </w:tc>
        <w:tc>
          <w:tcPr>
            <w:tcW w:w="2910" w:type="pct"/>
            <w:shd w:val="clear" w:color="auto" w:fill="auto"/>
            <w:vAlign w:val="center"/>
          </w:tcPr>
          <w:p w14:paraId="1D3D1E2A">
            <w:pPr>
              <w:jc w:val="center"/>
              <w:rPr>
                <w:rFonts w:hint="eastAsia" w:eastAsia="宋体"/>
                <w:color w:val="auto"/>
                <w:sz w:val="24"/>
                <w:szCs w:val="24"/>
                <w:lang w:eastAsia="zh-CN"/>
              </w:rPr>
            </w:pPr>
            <w:r>
              <w:rPr>
                <w:rFonts w:hint="eastAsia"/>
                <w:color w:val="auto"/>
                <w:sz w:val="24"/>
                <w:szCs w:val="24"/>
                <w:lang w:val="en-US" w:eastAsia="zh-CN"/>
              </w:rPr>
              <w:t>投标人</w:t>
            </w:r>
            <w:r>
              <w:rPr>
                <w:rFonts w:hint="eastAsia"/>
                <w:color w:val="auto"/>
                <w:sz w:val="24"/>
                <w:szCs w:val="24"/>
              </w:rPr>
              <w:t>对医院建设特点理解</w:t>
            </w:r>
            <w:r>
              <w:rPr>
                <w:rFonts w:hint="eastAsia"/>
                <w:color w:val="auto"/>
                <w:sz w:val="24"/>
                <w:szCs w:val="24"/>
                <w:lang w:eastAsia="zh-CN"/>
              </w:rPr>
              <w:t>，</w:t>
            </w:r>
            <w:r>
              <w:rPr>
                <w:rFonts w:hint="eastAsia"/>
                <w:color w:val="auto"/>
                <w:sz w:val="24"/>
                <w:szCs w:val="24"/>
                <w:lang w:val="en-US" w:eastAsia="zh-CN"/>
              </w:rPr>
              <w:t>制定</w:t>
            </w:r>
            <w:r>
              <w:rPr>
                <w:rFonts w:hint="eastAsia"/>
                <w:color w:val="auto"/>
                <w:sz w:val="24"/>
                <w:szCs w:val="24"/>
              </w:rPr>
              <w:t>项目</w:t>
            </w:r>
            <w:r>
              <w:rPr>
                <w:rFonts w:hint="eastAsia"/>
                <w:color w:val="auto"/>
                <w:sz w:val="24"/>
                <w:szCs w:val="24"/>
                <w:lang w:val="en-US" w:eastAsia="zh-CN"/>
              </w:rPr>
              <w:t>总体</w:t>
            </w:r>
            <w:r>
              <w:rPr>
                <w:rFonts w:hint="eastAsia"/>
                <w:color w:val="auto"/>
                <w:sz w:val="24"/>
                <w:szCs w:val="24"/>
              </w:rPr>
              <w:t>管理</w:t>
            </w:r>
            <w:r>
              <w:rPr>
                <w:rFonts w:hint="eastAsia"/>
                <w:color w:val="auto"/>
                <w:sz w:val="24"/>
                <w:szCs w:val="24"/>
                <w:lang w:val="en-US" w:eastAsia="zh-CN"/>
              </w:rPr>
              <w:t>方案</w:t>
            </w:r>
            <w:r>
              <w:rPr>
                <w:rFonts w:hint="eastAsia"/>
                <w:color w:val="auto"/>
                <w:sz w:val="24"/>
                <w:szCs w:val="24"/>
                <w:lang w:eastAsia="zh-CN"/>
              </w:rPr>
              <w:t>。</w:t>
            </w:r>
          </w:p>
        </w:tc>
        <w:tc>
          <w:tcPr>
            <w:tcW w:w="456" w:type="pct"/>
            <w:shd w:val="clear" w:color="auto" w:fill="auto"/>
            <w:vAlign w:val="center"/>
          </w:tcPr>
          <w:p w14:paraId="5BB4005D">
            <w:pPr>
              <w:jc w:val="center"/>
              <w:rPr>
                <w:rFonts w:hint="eastAsia"/>
                <w:color w:val="auto"/>
                <w:sz w:val="24"/>
                <w:szCs w:val="24"/>
                <w:lang w:val="en-US" w:eastAsia="zh-CN"/>
              </w:rPr>
            </w:pPr>
            <w:r>
              <w:rPr>
                <w:rFonts w:hint="eastAsia"/>
                <w:color w:val="auto"/>
                <w:sz w:val="24"/>
                <w:szCs w:val="24"/>
                <w:lang w:val="en-US" w:eastAsia="zh-CN"/>
              </w:rPr>
              <w:t>20</w:t>
            </w:r>
            <w:r>
              <w:rPr>
                <w:rFonts w:hint="eastAsia"/>
                <w:color w:val="auto"/>
                <w:sz w:val="24"/>
                <w:szCs w:val="24"/>
              </w:rPr>
              <w:t>分</w:t>
            </w:r>
          </w:p>
        </w:tc>
      </w:tr>
      <w:tr w14:paraId="4BA7D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394" w:type="pct"/>
            <w:vMerge w:val="continue"/>
            <w:shd w:val="clear" w:color="auto" w:fill="auto"/>
            <w:vAlign w:val="center"/>
          </w:tcPr>
          <w:p w14:paraId="4822D000">
            <w:pPr>
              <w:jc w:val="center"/>
              <w:rPr>
                <w:rFonts w:hint="default"/>
                <w:color w:val="auto"/>
                <w:sz w:val="24"/>
                <w:szCs w:val="24"/>
                <w:lang w:val="en-US" w:eastAsia="zh-CN"/>
              </w:rPr>
            </w:pPr>
          </w:p>
        </w:tc>
        <w:tc>
          <w:tcPr>
            <w:tcW w:w="645" w:type="pct"/>
            <w:vMerge w:val="continue"/>
            <w:shd w:val="clear" w:color="auto" w:fill="auto"/>
            <w:vAlign w:val="center"/>
          </w:tcPr>
          <w:p w14:paraId="4D1D8696">
            <w:pPr>
              <w:jc w:val="center"/>
              <w:rPr>
                <w:rFonts w:hint="default"/>
                <w:color w:val="auto"/>
                <w:sz w:val="24"/>
                <w:szCs w:val="24"/>
                <w:lang w:val="en-US" w:eastAsia="zh-CN"/>
              </w:rPr>
            </w:pPr>
          </w:p>
        </w:tc>
        <w:tc>
          <w:tcPr>
            <w:tcW w:w="594" w:type="pct"/>
            <w:shd w:val="clear" w:color="auto" w:fill="auto"/>
            <w:vAlign w:val="center"/>
          </w:tcPr>
          <w:p w14:paraId="0A523D23">
            <w:pPr>
              <w:jc w:val="center"/>
              <w:rPr>
                <w:rFonts w:hint="eastAsia"/>
                <w:color w:val="auto"/>
                <w:sz w:val="24"/>
                <w:szCs w:val="24"/>
                <w:lang w:val="en-US" w:eastAsia="zh-CN"/>
              </w:rPr>
            </w:pPr>
            <w:r>
              <w:rPr>
                <w:rFonts w:hint="eastAsia"/>
                <w:color w:val="auto"/>
                <w:sz w:val="24"/>
                <w:szCs w:val="24"/>
                <w:lang w:val="en-US" w:eastAsia="zh-CN"/>
              </w:rPr>
              <w:t>主观分</w:t>
            </w:r>
          </w:p>
        </w:tc>
        <w:tc>
          <w:tcPr>
            <w:tcW w:w="2910" w:type="pct"/>
            <w:shd w:val="clear" w:color="auto" w:fill="auto"/>
            <w:vAlign w:val="center"/>
          </w:tcPr>
          <w:p w14:paraId="167EF175">
            <w:pPr>
              <w:jc w:val="center"/>
              <w:rPr>
                <w:rFonts w:hint="default"/>
                <w:color w:val="auto"/>
                <w:sz w:val="24"/>
                <w:szCs w:val="24"/>
                <w:lang w:val="en-US" w:eastAsia="zh-CN"/>
              </w:rPr>
            </w:pPr>
            <w:r>
              <w:rPr>
                <w:rFonts w:hint="eastAsia"/>
                <w:color w:val="auto"/>
                <w:sz w:val="24"/>
                <w:szCs w:val="24"/>
                <w:lang w:val="en-US" w:eastAsia="zh-CN"/>
              </w:rPr>
              <w:t>对投标人在零星工程施工、服务单位招选及监管服务方案进行打分。</w:t>
            </w:r>
          </w:p>
        </w:tc>
        <w:tc>
          <w:tcPr>
            <w:tcW w:w="456" w:type="pct"/>
            <w:shd w:val="clear" w:color="auto" w:fill="auto"/>
            <w:vAlign w:val="center"/>
          </w:tcPr>
          <w:p w14:paraId="0D366521">
            <w:pPr>
              <w:jc w:val="center"/>
              <w:rPr>
                <w:rFonts w:hint="eastAsia"/>
                <w:color w:val="auto"/>
                <w:sz w:val="24"/>
                <w:szCs w:val="24"/>
                <w:lang w:val="en-US" w:eastAsia="zh-CN"/>
              </w:rPr>
            </w:pPr>
            <w:r>
              <w:rPr>
                <w:rFonts w:hint="eastAsia"/>
                <w:color w:val="auto"/>
                <w:sz w:val="24"/>
                <w:szCs w:val="24"/>
                <w:lang w:val="en-US" w:eastAsia="zh-CN"/>
              </w:rPr>
              <w:t>20</w:t>
            </w:r>
            <w:r>
              <w:rPr>
                <w:rFonts w:hint="eastAsia"/>
                <w:color w:val="auto"/>
                <w:sz w:val="24"/>
                <w:szCs w:val="24"/>
              </w:rPr>
              <w:t>分</w:t>
            </w:r>
          </w:p>
        </w:tc>
      </w:tr>
    </w:tbl>
    <w:p w14:paraId="0B769A31">
      <w:pPr>
        <w:spacing w:line="251" w:lineRule="auto"/>
        <w:rPr>
          <w:rFonts w:ascii="Arial"/>
          <w:color w:val="auto"/>
          <w:sz w:val="21"/>
          <w:highlight w:val="none"/>
        </w:rPr>
      </w:pPr>
    </w:p>
    <w:p w14:paraId="2DF98E24">
      <w:pPr>
        <w:pageBreakBefore w:val="0"/>
        <w:numPr>
          <w:ilvl w:val="0"/>
          <w:numId w:val="5"/>
        </w:numPr>
        <w:kinsoku/>
        <w:wordWrap/>
        <w:overflowPunct/>
        <w:topLinePunct w:val="0"/>
        <w:autoSpaceDE/>
        <w:autoSpaceDN/>
        <w:bidi w:val="0"/>
        <w:adjustRightInd/>
        <w:snapToGrid/>
        <w:spacing w:before="56" w:line="240" w:lineRule="auto"/>
        <w:ind w:left="144"/>
        <w:textAlignment w:val="auto"/>
        <w:outlineLvl w:val="6"/>
        <w:rPr>
          <w:rFonts w:hint="eastAsia" w:ascii="宋体" w:hAnsi="宋体"/>
          <w:b/>
          <w:color w:val="auto"/>
          <w:sz w:val="24"/>
          <w:highlight w:val="none"/>
        </w:rPr>
      </w:pPr>
      <w:r>
        <w:rPr>
          <w:rFonts w:hint="eastAsia" w:ascii="宋体" w:hAnsi="宋体"/>
          <w:b/>
          <w:color w:val="auto"/>
          <w:sz w:val="24"/>
          <w:highlight w:val="none"/>
        </w:rPr>
        <w:t>商务评审 (总分</w:t>
      </w:r>
      <w:r>
        <w:rPr>
          <w:rFonts w:hint="eastAsia" w:ascii="宋体" w:hAnsi="宋体"/>
          <w:b/>
          <w:color w:val="auto"/>
          <w:sz w:val="24"/>
          <w:highlight w:val="none"/>
          <w:lang w:val="en-US" w:eastAsia="zh-CN"/>
        </w:rPr>
        <w:t>20</w:t>
      </w:r>
      <w:r>
        <w:rPr>
          <w:rFonts w:hint="eastAsia" w:ascii="宋体" w:hAnsi="宋体"/>
          <w:b/>
          <w:color w:val="auto"/>
          <w:sz w:val="24"/>
          <w:highlight w:val="none"/>
        </w:rPr>
        <w:t>分)</w:t>
      </w:r>
    </w:p>
    <w:p w14:paraId="48C8B386">
      <w:pPr>
        <w:spacing w:before="185" w:line="380" w:lineRule="auto"/>
        <w:ind w:left="143" w:right="368" w:firstLine="506"/>
        <w:rPr>
          <w:rFonts w:hint="eastAsia" w:eastAsia="宋体" w:cs="Times New Roman"/>
          <w:color w:val="auto"/>
          <w:sz w:val="24"/>
          <w:highlight w:val="none"/>
        </w:rPr>
      </w:pPr>
      <w:r>
        <w:rPr>
          <w:rFonts w:hint="eastAsia" w:eastAsia="宋体" w:cs="Times New Roman"/>
          <w:color w:val="auto"/>
          <w:sz w:val="24"/>
          <w:highlight w:val="none"/>
          <w:lang w:val="en-US" w:eastAsia="zh-CN"/>
        </w:rPr>
        <w:t>根据“二、服务要求”中的要求进行报价。</w:t>
      </w:r>
      <w:r>
        <w:rPr>
          <w:rFonts w:hint="eastAsia" w:eastAsia="宋体" w:cs="Times New Roman"/>
          <w:color w:val="auto"/>
          <w:sz w:val="24"/>
          <w:highlight w:val="none"/>
        </w:rPr>
        <w:t>满足招标文件要求且</w:t>
      </w:r>
      <w:r>
        <w:rPr>
          <w:rFonts w:hint="eastAsia" w:eastAsia="宋体" w:cs="Times New Roman"/>
          <w:color w:val="auto"/>
          <w:sz w:val="24"/>
          <w:highlight w:val="none"/>
          <w:lang w:val="en-US" w:eastAsia="zh-CN"/>
        </w:rPr>
        <w:t>投标让利率</w:t>
      </w:r>
      <w:r>
        <w:rPr>
          <w:rFonts w:hint="eastAsia" w:eastAsia="宋体" w:cs="Times New Roman"/>
          <w:color w:val="auto"/>
          <w:sz w:val="24"/>
          <w:highlight w:val="none"/>
        </w:rPr>
        <w:t>最</w:t>
      </w:r>
      <w:r>
        <w:rPr>
          <w:rFonts w:hint="eastAsia" w:eastAsia="宋体" w:cs="Times New Roman"/>
          <w:color w:val="auto"/>
          <w:sz w:val="24"/>
          <w:highlight w:val="none"/>
          <w:lang w:val="en-US" w:eastAsia="zh-CN"/>
        </w:rPr>
        <w:t>高</w:t>
      </w:r>
      <w:r>
        <w:rPr>
          <w:rFonts w:hint="eastAsia" w:eastAsia="宋体" w:cs="Times New Roman"/>
          <w:color w:val="auto"/>
          <w:sz w:val="24"/>
          <w:highlight w:val="none"/>
        </w:rPr>
        <w:t>的投标报价为</w:t>
      </w:r>
      <w:r>
        <w:rPr>
          <w:rFonts w:hint="eastAsia" w:eastAsia="宋体" w:cs="Times New Roman"/>
          <w:color w:val="auto"/>
          <w:sz w:val="24"/>
          <w:highlight w:val="none"/>
          <w:lang w:val="en-US" w:eastAsia="zh-CN"/>
        </w:rPr>
        <w:t>让利</w:t>
      </w:r>
      <w:r>
        <w:rPr>
          <w:rFonts w:hint="eastAsia" w:eastAsia="宋体" w:cs="Times New Roman"/>
          <w:color w:val="auto"/>
          <w:sz w:val="24"/>
          <w:highlight w:val="none"/>
        </w:rPr>
        <w:t>基准</w:t>
      </w:r>
      <w:r>
        <w:rPr>
          <w:rFonts w:hint="eastAsia" w:eastAsia="宋体" w:cs="Times New Roman"/>
          <w:color w:val="auto"/>
          <w:sz w:val="24"/>
          <w:highlight w:val="none"/>
          <w:lang w:val="en-US" w:eastAsia="zh-CN"/>
        </w:rPr>
        <w:t>值</w:t>
      </w:r>
      <w:r>
        <w:rPr>
          <w:rFonts w:hint="eastAsia" w:eastAsia="宋体" w:cs="Times New Roman"/>
          <w:color w:val="auto"/>
          <w:sz w:val="24"/>
          <w:highlight w:val="none"/>
        </w:rPr>
        <w:t>，其价格分为满分。</w:t>
      </w:r>
      <w:r>
        <w:rPr>
          <w:rFonts w:hint="eastAsia"/>
          <w:color w:val="auto"/>
          <w:sz w:val="24"/>
          <w:highlight w:val="none"/>
        </w:rPr>
        <w:t>其他投标人的价格分统一按照下列公式计算：投标报价得分=(</w:t>
      </w:r>
      <w:r>
        <w:rPr>
          <w:rFonts w:hint="eastAsia"/>
          <w:color w:val="auto"/>
          <w:sz w:val="24"/>
          <w:highlight w:val="none"/>
          <w:lang w:val="en-US" w:eastAsia="zh-CN"/>
        </w:rPr>
        <w:t>1-让利</w:t>
      </w:r>
      <w:r>
        <w:rPr>
          <w:rFonts w:hint="eastAsia"/>
          <w:color w:val="auto"/>
          <w:sz w:val="24"/>
          <w:highlight w:val="none"/>
        </w:rPr>
        <w:t>基准</w:t>
      </w:r>
      <w:r>
        <w:rPr>
          <w:rFonts w:hint="eastAsia"/>
          <w:color w:val="auto"/>
          <w:sz w:val="24"/>
          <w:highlight w:val="none"/>
          <w:lang w:val="en-US" w:eastAsia="zh-CN"/>
        </w:rPr>
        <w:t>值）</w:t>
      </w:r>
      <w:r>
        <w:rPr>
          <w:rFonts w:hint="eastAsia"/>
          <w:color w:val="auto"/>
          <w:sz w:val="24"/>
          <w:highlight w:val="none"/>
        </w:rPr>
        <w:t>／</w:t>
      </w:r>
      <w:r>
        <w:rPr>
          <w:rFonts w:hint="eastAsia"/>
          <w:color w:val="auto"/>
          <w:sz w:val="24"/>
          <w:highlight w:val="none"/>
          <w:lang w:eastAsia="zh-CN"/>
        </w:rPr>
        <w:t>（</w:t>
      </w:r>
      <w:r>
        <w:rPr>
          <w:rFonts w:hint="eastAsia"/>
          <w:color w:val="auto"/>
          <w:sz w:val="24"/>
          <w:highlight w:val="none"/>
          <w:lang w:val="en-US" w:eastAsia="zh-CN"/>
        </w:rPr>
        <w:t>1-</w:t>
      </w:r>
      <w:r>
        <w:rPr>
          <w:rFonts w:hint="eastAsia"/>
          <w:color w:val="auto"/>
          <w:sz w:val="24"/>
          <w:highlight w:val="none"/>
        </w:rPr>
        <w:t>投标报价</w:t>
      </w:r>
      <w:r>
        <w:rPr>
          <w:rFonts w:hint="eastAsia"/>
          <w:color w:val="auto"/>
          <w:sz w:val="24"/>
          <w:highlight w:val="none"/>
          <w:lang w:eastAsia="zh-CN"/>
        </w:rPr>
        <w:t>）</w:t>
      </w:r>
      <w:r>
        <w:rPr>
          <w:rFonts w:hint="eastAsia"/>
          <w:color w:val="auto"/>
          <w:sz w:val="24"/>
          <w:highlight w:val="none"/>
        </w:rPr>
        <w:t>×</w:t>
      </w:r>
      <w:r>
        <w:rPr>
          <w:rFonts w:hint="eastAsia"/>
          <w:color w:val="auto"/>
          <w:sz w:val="24"/>
          <w:highlight w:val="none"/>
          <w:lang w:val="en-US" w:eastAsia="zh-CN"/>
        </w:rPr>
        <w:t>分值</w:t>
      </w:r>
      <w:r>
        <w:rPr>
          <w:rFonts w:hint="eastAsia"/>
          <w:color w:val="auto"/>
          <w:sz w:val="24"/>
          <w:highlight w:val="none"/>
          <w:lang w:eastAsia="zh-CN"/>
        </w:rPr>
        <w:t>，</w:t>
      </w:r>
      <w:r>
        <w:rPr>
          <w:color w:val="auto"/>
          <w:sz w:val="24"/>
          <w:highlight w:val="none"/>
        </w:rPr>
        <w:t>保留小数 2 位</w:t>
      </w:r>
      <w:r>
        <w:rPr>
          <w:rFonts w:hint="eastAsia"/>
          <w:color w:val="auto"/>
          <w:sz w:val="24"/>
          <w:highlight w:val="none"/>
          <w:lang w:eastAsia="zh-CN"/>
        </w:rPr>
        <w:t>。</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2"/>
        <w:gridCol w:w="2602"/>
        <w:gridCol w:w="1083"/>
        <w:gridCol w:w="3475"/>
        <w:gridCol w:w="2016"/>
      </w:tblGrid>
      <w:tr w14:paraId="32B31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902" w:type="dxa"/>
            <w:vAlign w:val="center"/>
          </w:tcPr>
          <w:p w14:paraId="3CC9BA19">
            <w:pPr>
              <w:jc w:val="center"/>
              <w:rPr>
                <w:color w:val="auto"/>
                <w:sz w:val="24"/>
                <w:highlight w:val="none"/>
                <w:vertAlign w:val="baseline"/>
              </w:rPr>
            </w:pPr>
            <w:r>
              <w:rPr>
                <w:rFonts w:hint="eastAsia"/>
                <w:color w:val="auto"/>
                <w:sz w:val="24"/>
                <w:szCs w:val="24"/>
              </w:rPr>
              <w:t>序号</w:t>
            </w:r>
          </w:p>
        </w:tc>
        <w:tc>
          <w:tcPr>
            <w:tcW w:w="2602" w:type="dxa"/>
            <w:vAlign w:val="center"/>
          </w:tcPr>
          <w:p w14:paraId="34E5B669">
            <w:pPr>
              <w:jc w:val="center"/>
              <w:rPr>
                <w:color w:val="auto"/>
                <w:sz w:val="24"/>
                <w:highlight w:val="none"/>
                <w:vertAlign w:val="baseline"/>
              </w:rPr>
            </w:pPr>
            <w:r>
              <w:rPr>
                <w:rFonts w:hint="eastAsia"/>
                <w:color w:val="auto"/>
                <w:sz w:val="24"/>
                <w:szCs w:val="24"/>
              </w:rPr>
              <w:t>评分项</w:t>
            </w:r>
          </w:p>
        </w:tc>
        <w:tc>
          <w:tcPr>
            <w:tcW w:w="1083" w:type="dxa"/>
            <w:vAlign w:val="center"/>
          </w:tcPr>
          <w:p w14:paraId="0EC59198">
            <w:pPr>
              <w:jc w:val="center"/>
              <w:rPr>
                <w:color w:val="auto"/>
                <w:sz w:val="24"/>
                <w:highlight w:val="none"/>
                <w:vertAlign w:val="baseline"/>
              </w:rPr>
            </w:pPr>
            <w:r>
              <w:rPr>
                <w:rFonts w:hint="eastAsia"/>
                <w:color w:val="auto"/>
                <w:sz w:val="24"/>
                <w:szCs w:val="24"/>
                <w:lang w:val="en-US" w:eastAsia="zh-CN"/>
              </w:rPr>
              <w:t>类型</w:t>
            </w:r>
          </w:p>
        </w:tc>
        <w:tc>
          <w:tcPr>
            <w:tcW w:w="3475" w:type="dxa"/>
            <w:vAlign w:val="center"/>
          </w:tcPr>
          <w:p w14:paraId="037411D3">
            <w:pPr>
              <w:jc w:val="center"/>
              <w:rPr>
                <w:color w:val="auto"/>
                <w:sz w:val="24"/>
                <w:highlight w:val="none"/>
                <w:vertAlign w:val="baseline"/>
              </w:rPr>
            </w:pPr>
            <w:r>
              <w:rPr>
                <w:rFonts w:hint="eastAsia"/>
                <w:color w:val="auto"/>
                <w:sz w:val="24"/>
                <w:szCs w:val="24"/>
              </w:rPr>
              <w:t>评审因素</w:t>
            </w:r>
          </w:p>
        </w:tc>
        <w:tc>
          <w:tcPr>
            <w:tcW w:w="2016" w:type="dxa"/>
            <w:vAlign w:val="center"/>
          </w:tcPr>
          <w:p w14:paraId="4BB9F432">
            <w:pPr>
              <w:jc w:val="center"/>
              <w:rPr>
                <w:color w:val="auto"/>
                <w:sz w:val="24"/>
                <w:highlight w:val="none"/>
                <w:vertAlign w:val="baseline"/>
              </w:rPr>
            </w:pPr>
            <w:r>
              <w:rPr>
                <w:rFonts w:hint="eastAsia"/>
                <w:color w:val="auto"/>
                <w:sz w:val="24"/>
                <w:szCs w:val="24"/>
              </w:rPr>
              <w:t>分值</w:t>
            </w:r>
          </w:p>
        </w:tc>
      </w:tr>
      <w:tr w14:paraId="2DBBD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902" w:type="dxa"/>
            <w:vAlign w:val="center"/>
          </w:tcPr>
          <w:p w14:paraId="6424263B">
            <w:pPr>
              <w:pageBreakBefore w:val="0"/>
              <w:kinsoku/>
              <w:wordWrap/>
              <w:overflowPunct/>
              <w:topLinePunct w:val="0"/>
              <w:autoSpaceDE/>
              <w:autoSpaceDN/>
              <w:bidi w:val="0"/>
              <w:adjustRightInd/>
              <w:snapToGrid/>
              <w:spacing w:line="240" w:lineRule="auto"/>
              <w:jc w:val="center"/>
              <w:textAlignment w:val="auto"/>
              <w:rPr>
                <w:rFonts w:hint="eastAsia" w:eastAsia="宋体"/>
                <w:color w:val="auto"/>
                <w:sz w:val="24"/>
                <w:highlight w:val="none"/>
                <w:vertAlign w:val="baseline"/>
                <w:lang w:val="en-US" w:eastAsia="zh-CN"/>
              </w:rPr>
            </w:pPr>
            <w:r>
              <w:rPr>
                <w:rFonts w:hint="eastAsia"/>
                <w:color w:val="auto"/>
                <w:sz w:val="24"/>
                <w:highlight w:val="none"/>
                <w:vertAlign w:val="baseline"/>
                <w:lang w:val="en-US" w:eastAsia="zh-CN"/>
              </w:rPr>
              <w:t>1</w:t>
            </w:r>
          </w:p>
        </w:tc>
        <w:tc>
          <w:tcPr>
            <w:tcW w:w="2602" w:type="dxa"/>
            <w:vAlign w:val="center"/>
          </w:tcPr>
          <w:p w14:paraId="3DEDD84C">
            <w:pPr>
              <w:widowControl/>
              <w:spacing w:line="480" w:lineRule="atLeast"/>
              <w:jc w:val="center"/>
              <w:rPr>
                <w:rFonts w:hint="eastAsia" w:eastAsia="宋体"/>
                <w:color w:val="auto"/>
                <w:sz w:val="24"/>
                <w:highlight w:val="none"/>
                <w:vertAlign w:val="baseline"/>
                <w:lang w:val="en-US" w:eastAsia="zh-CN"/>
              </w:rPr>
            </w:pPr>
            <w:r>
              <w:rPr>
                <w:rFonts w:hint="eastAsia"/>
                <w:color w:val="auto"/>
                <w:kern w:val="0"/>
                <w:sz w:val="28"/>
                <w:szCs w:val="28"/>
                <w:highlight w:val="none"/>
                <w:lang w:val="en-US" w:eastAsia="zh-CN"/>
              </w:rPr>
              <w:t>代建服务费</w:t>
            </w:r>
          </w:p>
        </w:tc>
        <w:tc>
          <w:tcPr>
            <w:tcW w:w="1083" w:type="dxa"/>
            <w:vAlign w:val="center"/>
          </w:tcPr>
          <w:p w14:paraId="701622B8">
            <w:pPr>
              <w:pageBreakBefore w:val="0"/>
              <w:kinsoku/>
              <w:wordWrap/>
              <w:overflowPunct/>
              <w:topLinePunct w:val="0"/>
              <w:autoSpaceDE/>
              <w:autoSpaceDN/>
              <w:bidi w:val="0"/>
              <w:adjustRightInd/>
              <w:snapToGrid/>
              <w:spacing w:line="240" w:lineRule="auto"/>
              <w:jc w:val="center"/>
              <w:textAlignment w:val="auto"/>
              <w:rPr>
                <w:rFonts w:hint="eastAsia" w:eastAsia="宋体"/>
                <w:color w:val="auto"/>
                <w:sz w:val="24"/>
                <w:highlight w:val="none"/>
                <w:vertAlign w:val="baseline"/>
                <w:lang w:val="en-US" w:eastAsia="zh-CN"/>
              </w:rPr>
            </w:pPr>
            <w:r>
              <w:rPr>
                <w:rFonts w:hint="eastAsia"/>
                <w:color w:val="auto"/>
                <w:sz w:val="24"/>
                <w:highlight w:val="none"/>
                <w:vertAlign w:val="baseline"/>
                <w:lang w:val="en-US" w:eastAsia="zh-CN"/>
              </w:rPr>
              <w:t>价格</w:t>
            </w:r>
          </w:p>
        </w:tc>
        <w:tc>
          <w:tcPr>
            <w:tcW w:w="3475" w:type="dxa"/>
            <w:vAlign w:val="center"/>
          </w:tcPr>
          <w:p w14:paraId="37ADBB6E">
            <w:pPr>
              <w:pageBreakBefore w:val="0"/>
              <w:kinsoku/>
              <w:wordWrap/>
              <w:overflowPunct/>
              <w:topLinePunct w:val="0"/>
              <w:autoSpaceDE/>
              <w:autoSpaceDN/>
              <w:bidi w:val="0"/>
              <w:adjustRightInd/>
              <w:snapToGrid/>
              <w:spacing w:line="240" w:lineRule="auto"/>
              <w:ind w:firstLine="480" w:firstLineChars="200"/>
              <w:jc w:val="center"/>
              <w:textAlignment w:val="auto"/>
              <w:rPr>
                <w:rFonts w:hint="eastAsia" w:eastAsia="宋体"/>
                <w:color w:val="auto"/>
                <w:sz w:val="24"/>
                <w:highlight w:val="none"/>
                <w:vertAlign w:val="baseline"/>
                <w:lang w:eastAsia="zh-CN"/>
              </w:rPr>
            </w:pPr>
            <w:r>
              <w:rPr>
                <w:rFonts w:hint="eastAsia"/>
                <w:color w:val="auto"/>
                <w:sz w:val="24"/>
                <w:highlight w:val="none"/>
              </w:rPr>
              <w:t>价格分计算</w:t>
            </w:r>
            <w:r>
              <w:rPr>
                <w:rFonts w:hint="eastAsia"/>
                <w:color w:val="auto"/>
                <w:sz w:val="24"/>
                <w:highlight w:val="none"/>
                <w:lang w:val="en-US" w:eastAsia="zh-CN"/>
              </w:rPr>
              <w:t>公式</w:t>
            </w:r>
            <w:r>
              <w:rPr>
                <w:rFonts w:hint="eastAsia"/>
                <w:color w:val="auto"/>
                <w:sz w:val="24"/>
                <w:highlight w:val="none"/>
              </w:rPr>
              <w:t>：投标报价得分=(</w:t>
            </w:r>
            <w:r>
              <w:rPr>
                <w:rFonts w:hint="eastAsia"/>
                <w:color w:val="auto"/>
                <w:sz w:val="24"/>
                <w:highlight w:val="none"/>
                <w:lang w:val="en-US" w:eastAsia="zh-CN"/>
              </w:rPr>
              <w:t>1-让利</w:t>
            </w:r>
            <w:r>
              <w:rPr>
                <w:rFonts w:hint="eastAsia"/>
                <w:color w:val="auto"/>
                <w:sz w:val="24"/>
                <w:highlight w:val="none"/>
              </w:rPr>
              <w:t>基准</w:t>
            </w:r>
            <w:r>
              <w:rPr>
                <w:rFonts w:hint="eastAsia"/>
                <w:color w:val="auto"/>
                <w:sz w:val="24"/>
                <w:highlight w:val="none"/>
                <w:lang w:val="en-US" w:eastAsia="zh-CN"/>
              </w:rPr>
              <w:t>值）</w:t>
            </w:r>
            <w:r>
              <w:rPr>
                <w:rFonts w:hint="eastAsia"/>
                <w:color w:val="auto"/>
                <w:sz w:val="24"/>
                <w:highlight w:val="none"/>
              </w:rPr>
              <w:t>／</w:t>
            </w:r>
            <w:r>
              <w:rPr>
                <w:rFonts w:hint="eastAsia"/>
                <w:color w:val="auto"/>
                <w:sz w:val="24"/>
                <w:highlight w:val="none"/>
                <w:lang w:eastAsia="zh-CN"/>
              </w:rPr>
              <w:t>（</w:t>
            </w:r>
            <w:r>
              <w:rPr>
                <w:rFonts w:hint="eastAsia"/>
                <w:color w:val="auto"/>
                <w:sz w:val="24"/>
                <w:highlight w:val="none"/>
                <w:lang w:val="en-US" w:eastAsia="zh-CN"/>
              </w:rPr>
              <w:t>1-</w:t>
            </w:r>
            <w:r>
              <w:rPr>
                <w:rFonts w:hint="eastAsia"/>
                <w:color w:val="auto"/>
                <w:sz w:val="24"/>
                <w:highlight w:val="none"/>
              </w:rPr>
              <w:t>投标报价</w:t>
            </w:r>
            <w:r>
              <w:rPr>
                <w:rFonts w:hint="eastAsia"/>
                <w:color w:val="auto"/>
                <w:sz w:val="24"/>
                <w:highlight w:val="none"/>
                <w:lang w:eastAsia="zh-CN"/>
              </w:rPr>
              <w:t>）</w:t>
            </w:r>
            <w:r>
              <w:rPr>
                <w:rFonts w:hint="eastAsia"/>
                <w:color w:val="auto"/>
                <w:sz w:val="24"/>
                <w:highlight w:val="none"/>
              </w:rPr>
              <w:t>×</w:t>
            </w:r>
            <w:r>
              <w:rPr>
                <w:rFonts w:hint="eastAsia"/>
                <w:color w:val="auto"/>
                <w:sz w:val="24"/>
                <w:highlight w:val="none"/>
                <w:lang w:val="en-US" w:eastAsia="zh-CN"/>
              </w:rPr>
              <w:t>20</w:t>
            </w:r>
            <w:r>
              <w:rPr>
                <w:rFonts w:hint="eastAsia"/>
                <w:color w:val="auto"/>
                <w:sz w:val="24"/>
                <w:highlight w:val="none"/>
              </w:rPr>
              <w:t>%×100</w:t>
            </w:r>
            <w:r>
              <w:rPr>
                <w:rFonts w:hint="eastAsia"/>
                <w:color w:val="auto"/>
                <w:sz w:val="24"/>
                <w:highlight w:val="none"/>
                <w:lang w:eastAsia="zh-CN"/>
              </w:rPr>
              <w:t>，</w:t>
            </w:r>
            <w:r>
              <w:rPr>
                <w:color w:val="auto"/>
                <w:sz w:val="24"/>
                <w:highlight w:val="none"/>
              </w:rPr>
              <w:t>保留小数 2 位</w:t>
            </w:r>
            <w:r>
              <w:rPr>
                <w:rFonts w:hint="eastAsia"/>
                <w:color w:val="auto"/>
                <w:sz w:val="24"/>
                <w:highlight w:val="none"/>
                <w:lang w:eastAsia="zh-CN"/>
              </w:rPr>
              <w:t>。</w:t>
            </w:r>
          </w:p>
        </w:tc>
        <w:tc>
          <w:tcPr>
            <w:tcW w:w="2016" w:type="dxa"/>
            <w:vAlign w:val="center"/>
          </w:tcPr>
          <w:p w14:paraId="01335F0B">
            <w:pPr>
              <w:pageBreakBefore w:val="0"/>
              <w:kinsoku/>
              <w:wordWrap/>
              <w:overflowPunct/>
              <w:topLinePunct w:val="0"/>
              <w:autoSpaceDE/>
              <w:autoSpaceDN/>
              <w:bidi w:val="0"/>
              <w:adjustRightInd/>
              <w:snapToGrid/>
              <w:spacing w:line="240" w:lineRule="auto"/>
              <w:jc w:val="center"/>
              <w:textAlignment w:val="auto"/>
              <w:rPr>
                <w:rFonts w:hint="default" w:eastAsia="宋体"/>
                <w:color w:val="auto"/>
                <w:sz w:val="24"/>
                <w:highlight w:val="none"/>
                <w:vertAlign w:val="baseline"/>
                <w:lang w:val="en-US" w:eastAsia="zh-CN"/>
              </w:rPr>
            </w:pPr>
            <w:r>
              <w:rPr>
                <w:rFonts w:hint="eastAsia"/>
                <w:color w:val="auto"/>
                <w:sz w:val="24"/>
                <w:highlight w:val="none"/>
                <w:vertAlign w:val="baseline"/>
                <w:lang w:val="en-US" w:eastAsia="zh-CN"/>
              </w:rPr>
              <w:t>20</w:t>
            </w:r>
          </w:p>
        </w:tc>
      </w:tr>
    </w:tbl>
    <w:p w14:paraId="20E7D237">
      <w:pPr>
        <w:pageBreakBefore w:val="0"/>
        <w:kinsoku/>
        <w:wordWrap/>
        <w:overflowPunct/>
        <w:topLinePunct w:val="0"/>
        <w:autoSpaceDE/>
        <w:autoSpaceDN/>
        <w:bidi w:val="0"/>
        <w:adjustRightInd/>
        <w:snapToGrid/>
        <w:spacing w:before="56" w:line="240" w:lineRule="auto"/>
        <w:ind w:left="144"/>
        <w:textAlignment w:val="auto"/>
        <w:outlineLvl w:val="6"/>
        <w:rPr>
          <w:rFonts w:hint="eastAsia" w:ascii="宋体" w:hAnsi="宋体" w:cs="Times New Roman"/>
          <w:b/>
          <w:color w:val="auto"/>
          <w:sz w:val="24"/>
          <w:highlight w:val="none"/>
        </w:rPr>
      </w:pPr>
      <w:r>
        <w:rPr>
          <w:rFonts w:hint="eastAsia" w:ascii="宋体" w:hAnsi="宋体" w:cs="Times New Roman"/>
          <w:b/>
          <w:color w:val="auto"/>
          <w:sz w:val="24"/>
          <w:highlight w:val="none"/>
        </w:rPr>
        <w:t>3、投标人的综合得分为以上两部分评分的总和。</w:t>
      </w:r>
    </w:p>
    <w:p w14:paraId="1E9FD634">
      <w:pPr>
        <w:pStyle w:val="24"/>
        <w:pageBreakBefore w:val="0"/>
        <w:kinsoku/>
        <w:wordWrap/>
        <w:overflowPunct/>
        <w:topLinePunct w:val="0"/>
        <w:autoSpaceDE/>
        <w:autoSpaceDN/>
        <w:bidi w:val="0"/>
        <w:adjustRightInd/>
        <w:snapToGrid/>
        <w:spacing w:line="240" w:lineRule="auto"/>
        <w:ind w:left="1349" w:leftChars="26" w:hanging="1294" w:hangingChars="537"/>
        <w:textAlignment w:val="auto"/>
        <w:rPr>
          <w:rFonts w:hint="eastAsia" w:eastAsia="宋体"/>
          <w:color w:val="auto"/>
          <w:sz w:val="24"/>
          <w:szCs w:val="24"/>
          <w:highlight w:val="none"/>
          <w:lang w:eastAsia="zh-CN"/>
        </w:rPr>
      </w:pPr>
      <w:r>
        <w:rPr>
          <w:rFonts w:hint="eastAsia"/>
          <w:color w:val="auto"/>
          <w:sz w:val="24"/>
          <w:szCs w:val="24"/>
          <w:highlight w:val="none"/>
          <w:lang w:val="en-US" w:eastAsia="zh-CN"/>
        </w:rPr>
        <w:t>4</w:t>
      </w:r>
      <w:r>
        <w:rPr>
          <w:color w:val="auto"/>
          <w:sz w:val="24"/>
          <w:szCs w:val="24"/>
          <w:highlight w:val="none"/>
        </w:rPr>
        <w:t>、推荐中标候选人</w:t>
      </w:r>
      <w:r>
        <w:rPr>
          <w:rFonts w:hint="eastAsia"/>
          <w:color w:val="auto"/>
          <w:sz w:val="24"/>
          <w:szCs w:val="24"/>
          <w:highlight w:val="none"/>
          <w:lang w:eastAsia="zh-CN"/>
        </w:rPr>
        <w:t>。</w:t>
      </w:r>
    </w:p>
    <w:p w14:paraId="27E04145">
      <w:pPr>
        <w:pageBreakBefore w:val="0"/>
        <w:kinsoku/>
        <w:wordWrap/>
        <w:overflowPunct/>
        <w:topLinePunct w:val="0"/>
        <w:autoSpaceDE/>
        <w:autoSpaceDN/>
        <w:bidi w:val="0"/>
        <w:adjustRightInd/>
        <w:snapToGrid/>
        <w:spacing w:line="240" w:lineRule="auto"/>
        <w:ind w:firstLine="480" w:firstLineChars="200"/>
        <w:textAlignment w:val="auto"/>
        <w:rPr>
          <w:rFonts w:hint="eastAsia" w:eastAsia="宋体"/>
          <w:color w:val="auto"/>
          <w:highlight w:val="none"/>
          <w:lang w:val="en-US" w:eastAsia="zh-CN"/>
        </w:rPr>
        <w:sectPr>
          <w:footerReference r:id="rId5" w:type="default"/>
          <w:pgSz w:w="11906" w:h="16839"/>
          <w:pgMar w:top="1134" w:right="879" w:bottom="844" w:left="1117" w:header="0" w:footer="684" w:gutter="0"/>
          <w:pgBorders>
            <w:top w:val="none" w:sz="0" w:space="0"/>
            <w:left w:val="none" w:sz="0" w:space="0"/>
            <w:bottom w:val="none" w:sz="0" w:space="0"/>
            <w:right w:val="none" w:sz="0" w:space="0"/>
          </w:pgBorders>
          <w:cols w:space="720" w:num="1"/>
        </w:sectPr>
      </w:pPr>
      <w:r>
        <w:rPr>
          <w:color w:val="auto"/>
          <w:sz w:val="24"/>
          <w:highlight w:val="none"/>
        </w:rPr>
        <w:t>评标</w:t>
      </w:r>
      <w:r>
        <w:rPr>
          <w:rFonts w:hint="eastAsia"/>
          <w:color w:val="auto"/>
          <w:sz w:val="24"/>
          <w:highlight w:val="none"/>
          <w:lang w:val="en-US" w:eastAsia="zh-CN"/>
        </w:rPr>
        <w:t>小组</w:t>
      </w:r>
      <w:r>
        <w:rPr>
          <w:color w:val="auto"/>
          <w:sz w:val="24"/>
          <w:highlight w:val="none"/>
        </w:rPr>
        <w:t>完成评标后，按总得分由高到低排定顺序</w:t>
      </w:r>
      <w:r>
        <w:rPr>
          <w:rFonts w:hint="eastAsia"/>
          <w:color w:val="auto"/>
          <w:sz w:val="24"/>
          <w:highlight w:val="none"/>
          <w:lang w:eastAsia="zh-CN"/>
        </w:rPr>
        <w:t>，</w:t>
      </w:r>
      <w:r>
        <w:rPr>
          <w:rFonts w:ascii="宋体" w:hAnsi="宋体" w:eastAsia="宋体" w:cs="宋体"/>
          <w:color w:val="auto"/>
          <w:spacing w:val="7"/>
          <w:sz w:val="24"/>
          <w:szCs w:val="24"/>
          <w:highlight w:val="none"/>
        </w:rPr>
        <w:t>由得分从高到低推荐</w:t>
      </w:r>
      <w:r>
        <w:rPr>
          <w:rFonts w:hint="eastAsia" w:ascii="宋体" w:hAnsi="宋体" w:cs="宋体"/>
          <w:color w:val="auto"/>
          <w:spacing w:val="7"/>
          <w:sz w:val="24"/>
          <w:szCs w:val="24"/>
          <w:highlight w:val="none"/>
          <w:lang w:val="en-US" w:eastAsia="zh-CN"/>
        </w:rPr>
        <w:t>第一</w:t>
      </w:r>
      <w:r>
        <w:rPr>
          <w:rFonts w:ascii="宋体" w:hAnsi="宋体" w:eastAsia="宋体" w:cs="宋体"/>
          <w:color w:val="auto"/>
          <w:spacing w:val="7"/>
          <w:sz w:val="24"/>
          <w:szCs w:val="24"/>
          <w:highlight w:val="none"/>
        </w:rPr>
        <w:t>名为中标候</w:t>
      </w:r>
      <w:r>
        <w:rPr>
          <w:rFonts w:hint="eastAsia" w:ascii="宋体" w:hAnsi="宋体" w:cs="宋体"/>
          <w:color w:val="auto"/>
          <w:spacing w:val="7"/>
          <w:sz w:val="24"/>
          <w:szCs w:val="24"/>
          <w:highlight w:val="none"/>
          <w:lang w:val="en-US" w:eastAsia="zh-CN"/>
        </w:rPr>
        <w:t>选人。</w:t>
      </w:r>
    </w:p>
    <w:bookmarkEnd w:id="0"/>
    <w:p w14:paraId="15FB5998">
      <w:pPr>
        <w:pStyle w:val="8"/>
        <w:snapToGrid w:val="0"/>
        <w:spacing w:beforeLines="0" w:afterLines="0" w:line="240" w:lineRule="auto"/>
        <w:jc w:val="left"/>
        <w:rPr>
          <w:rFonts w:hint="default" w:hAnsi="宋体"/>
          <w:b/>
          <w:color w:val="auto"/>
          <w:sz w:val="30"/>
          <w:szCs w:val="30"/>
          <w:highlight w:val="none"/>
          <w:lang w:val="en-US" w:eastAsia="zh-CN"/>
        </w:rPr>
      </w:pPr>
      <w:r>
        <w:rPr>
          <w:rFonts w:hint="eastAsia" w:hAnsi="宋体"/>
          <w:b/>
          <w:color w:val="auto"/>
          <w:sz w:val="30"/>
          <w:szCs w:val="30"/>
          <w:highlight w:val="none"/>
          <w:lang w:val="en-US" w:eastAsia="zh-CN"/>
        </w:rPr>
        <w:t>附件1</w:t>
      </w:r>
    </w:p>
    <w:p w14:paraId="207EF922">
      <w:pPr>
        <w:pStyle w:val="8"/>
        <w:snapToGrid w:val="0"/>
        <w:spacing w:beforeLines="0" w:afterLines="0" w:line="240" w:lineRule="auto"/>
        <w:jc w:val="center"/>
        <w:rPr>
          <w:rFonts w:hint="default" w:hAnsi="宋体" w:eastAsia="宋体"/>
          <w:b/>
          <w:color w:val="auto"/>
          <w:sz w:val="30"/>
          <w:szCs w:val="30"/>
          <w:highlight w:val="none"/>
          <w:lang w:val="en-US" w:eastAsia="zh-CN"/>
        </w:rPr>
      </w:pPr>
      <w:r>
        <w:rPr>
          <w:rFonts w:hint="eastAsia" w:hAnsi="宋体"/>
          <w:b/>
          <w:color w:val="auto"/>
          <w:sz w:val="30"/>
          <w:szCs w:val="30"/>
          <w:highlight w:val="none"/>
          <w:lang w:val="en-US" w:eastAsia="zh-CN"/>
        </w:rPr>
        <w:t>报价一览表</w:t>
      </w:r>
    </w:p>
    <w:tbl>
      <w:tblPr>
        <w:tblStyle w:val="13"/>
        <w:tblpPr w:leftFromText="180" w:rightFromText="180" w:vertAnchor="text" w:horzAnchor="margin" w:tblpXSpec="center" w:tblpY="122"/>
        <w:tblW w:w="103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97"/>
        <w:gridCol w:w="3071"/>
        <w:gridCol w:w="3071"/>
      </w:tblGrid>
      <w:tr w14:paraId="5D2CC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4" w:hRule="atLeast"/>
        </w:trPr>
        <w:tc>
          <w:tcPr>
            <w:tcW w:w="4197" w:type="dxa"/>
            <w:tcBorders>
              <w:top w:val="single" w:color="auto" w:sz="4" w:space="0"/>
              <w:left w:val="single" w:color="auto" w:sz="4" w:space="0"/>
              <w:right w:val="single" w:color="auto" w:sz="4" w:space="0"/>
            </w:tcBorders>
            <w:noWrap w:val="0"/>
            <w:vAlign w:val="center"/>
          </w:tcPr>
          <w:p w14:paraId="76970C1C">
            <w:pPr>
              <w:widowControl/>
              <w:spacing w:line="480" w:lineRule="atLeast"/>
              <w:jc w:val="center"/>
              <w:rPr>
                <w:rFonts w:hint="default" w:eastAsia="宋体"/>
                <w:b/>
                <w:bCs/>
                <w:color w:val="auto"/>
                <w:kern w:val="0"/>
                <w:sz w:val="24"/>
                <w:szCs w:val="20"/>
                <w:highlight w:val="none"/>
                <w:lang w:val="en-US" w:eastAsia="zh-CN"/>
              </w:rPr>
            </w:pPr>
            <w:r>
              <w:rPr>
                <w:b/>
                <w:bCs/>
                <w:color w:val="auto"/>
                <w:kern w:val="0"/>
                <w:sz w:val="24"/>
                <w:szCs w:val="20"/>
                <w:highlight w:val="none"/>
              </w:rPr>
              <w:t>名称</w:t>
            </w:r>
          </w:p>
        </w:tc>
        <w:tc>
          <w:tcPr>
            <w:tcW w:w="3071" w:type="dxa"/>
            <w:tcBorders>
              <w:top w:val="single" w:color="auto" w:sz="4" w:space="0"/>
              <w:left w:val="single" w:color="auto" w:sz="4" w:space="0"/>
              <w:right w:val="single" w:color="auto" w:sz="4" w:space="0"/>
            </w:tcBorders>
            <w:noWrap w:val="0"/>
            <w:vAlign w:val="center"/>
          </w:tcPr>
          <w:p w14:paraId="60E3D510">
            <w:pPr>
              <w:widowControl/>
              <w:spacing w:line="480" w:lineRule="atLeast"/>
              <w:jc w:val="center"/>
              <w:rPr>
                <w:rFonts w:hint="default"/>
                <w:b/>
                <w:bCs/>
                <w:color w:val="auto"/>
                <w:kern w:val="0"/>
                <w:szCs w:val="20"/>
                <w:highlight w:val="none"/>
                <w:lang w:val="en-US" w:eastAsia="zh-CN"/>
              </w:rPr>
            </w:pPr>
            <w:r>
              <w:rPr>
                <w:rFonts w:hint="eastAsia"/>
                <w:b/>
                <w:bCs/>
                <w:color w:val="auto"/>
                <w:kern w:val="0"/>
                <w:szCs w:val="20"/>
                <w:highlight w:val="none"/>
                <w:lang w:val="en-US" w:eastAsia="zh-CN"/>
              </w:rPr>
              <w:t>项目</w:t>
            </w:r>
          </w:p>
        </w:tc>
        <w:tc>
          <w:tcPr>
            <w:tcW w:w="3071" w:type="dxa"/>
            <w:tcBorders>
              <w:top w:val="single" w:color="auto" w:sz="4" w:space="0"/>
              <w:left w:val="single" w:color="auto" w:sz="4" w:space="0"/>
              <w:right w:val="single" w:color="auto" w:sz="4" w:space="0"/>
            </w:tcBorders>
            <w:noWrap w:val="0"/>
            <w:vAlign w:val="center"/>
          </w:tcPr>
          <w:p w14:paraId="69B03E5D">
            <w:pPr>
              <w:widowControl/>
              <w:spacing w:line="480" w:lineRule="atLeast"/>
              <w:jc w:val="center"/>
              <w:rPr>
                <w:rFonts w:hint="eastAsia"/>
                <w:b/>
                <w:bCs/>
                <w:color w:val="auto"/>
                <w:kern w:val="0"/>
                <w:szCs w:val="20"/>
                <w:highlight w:val="none"/>
                <w:lang w:val="en-US" w:eastAsia="zh-CN"/>
              </w:rPr>
            </w:pPr>
            <w:r>
              <w:rPr>
                <w:rFonts w:hint="eastAsia"/>
                <w:b/>
                <w:bCs/>
                <w:color w:val="auto"/>
                <w:kern w:val="0"/>
                <w:szCs w:val="20"/>
                <w:highlight w:val="none"/>
                <w:lang w:val="en-US" w:eastAsia="zh-CN"/>
              </w:rPr>
              <w:t>报价（让利率）</w:t>
            </w:r>
          </w:p>
        </w:tc>
      </w:tr>
      <w:tr w14:paraId="07750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1" w:hRule="exact"/>
        </w:trPr>
        <w:tc>
          <w:tcPr>
            <w:tcW w:w="4197" w:type="dxa"/>
            <w:tcBorders>
              <w:left w:val="single" w:color="auto" w:sz="4" w:space="0"/>
              <w:right w:val="single" w:color="auto" w:sz="4" w:space="0"/>
            </w:tcBorders>
            <w:noWrap w:val="0"/>
            <w:vAlign w:val="center"/>
          </w:tcPr>
          <w:p w14:paraId="1EDA7E81">
            <w:pPr>
              <w:widowControl/>
              <w:spacing w:line="480" w:lineRule="atLeast"/>
              <w:jc w:val="center"/>
              <w:rPr>
                <w:rFonts w:hint="default"/>
                <w:color w:val="auto"/>
                <w:kern w:val="0"/>
                <w:sz w:val="28"/>
                <w:szCs w:val="28"/>
                <w:highlight w:val="none"/>
                <w:lang w:val="en-US" w:eastAsia="zh-CN"/>
              </w:rPr>
            </w:pPr>
            <w:r>
              <w:rPr>
                <w:rFonts w:hint="eastAsia"/>
                <w:b/>
                <w:bCs/>
                <w:color w:val="auto"/>
                <w:kern w:val="0"/>
                <w:sz w:val="24"/>
                <w:szCs w:val="20"/>
                <w:highlight w:val="none"/>
                <w:lang w:val="en-US" w:eastAsia="zh-CN"/>
              </w:rPr>
              <w:t>年度零星工程代建服务项目</w:t>
            </w:r>
          </w:p>
        </w:tc>
        <w:tc>
          <w:tcPr>
            <w:tcW w:w="3071" w:type="dxa"/>
            <w:tcBorders>
              <w:top w:val="single" w:color="auto" w:sz="4" w:space="0"/>
              <w:left w:val="single" w:color="auto" w:sz="4" w:space="0"/>
              <w:bottom w:val="single" w:color="auto" w:sz="4" w:space="0"/>
              <w:right w:val="single" w:color="auto" w:sz="4" w:space="0"/>
            </w:tcBorders>
            <w:noWrap w:val="0"/>
            <w:vAlign w:val="center"/>
          </w:tcPr>
          <w:p w14:paraId="0CF97180">
            <w:pPr>
              <w:widowControl/>
              <w:spacing w:line="480" w:lineRule="atLeast"/>
              <w:jc w:val="center"/>
              <w:rPr>
                <w:rFonts w:hint="default"/>
                <w:color w:val="auto"/>
                <w:kern w:val="0"/>
                <w:sz w:val="28"/>
                <w:szCs w:val="28"/>
                <w:highlight w:val="none"/>
                <w:lang w:val="en-US" w:eastAsia="zh-CN"/>
              </w:rPr>
            </w:pPr>
            <w:r>
              <w:rPr>
                <w:rFonts w:hint="eastAsia"/>
                <w:color w:val="auto"/>
                <w:kern w:val="0"/>
                <w:sz w:val="28"/>
                <w:szCs w:val="28"/>
                <w:highlight w:val="none"/>
                <w:lang w:val="en-US" w:eastAsia="zh-CN"/>
              </w:rPr>
              <w:t>代建服务费</w:t>
            </w:r>
          </w:p>
        </w:tc>
        <w:tc>
          <w:tcPr>
            <w:tcW w:w="3071" w:type="dxa"/>
            <w:tcBorders>
              <w:top w:val="single" w:color="auto" w:sz="4" w:space="0"/>
              <w:left w:val="single" w:color="auto" w:sz="4" w:space="0"/>
              <w:bottom w:val="single" w:color="auto" w:sz="4" w:space="0"/>
              <w:right w:val="single" w:color="auto" w:sz="4" w:space="0"/>
            </w:tcBorders>
            <w:noWrap w:val="0"/>
            <w:vAlign w:val="center"/>
          </w:tcPr>
          <w:p w14:paraId="45884CF0">
            <w:pPr>
              <w:widowControl/>
              <w:spacing w:line="480" w:lineRule="atLeast"/>
              <w:jc w:val="right"/>
              <w:rPr>
                <w:rFonts w:hint="eastAsia"/>
                <w:color w:val="auto"/>
                <w:kern w:val="0"/>
                <w:sz w:val="28"/>
                <w:szCs w:val="28"/>
                <w:highlight w:val="none"/>
                <w:lang w:eastAsia="zh-CN"/>
              </w:rPr>
            </w:pPr>
          </w:p>
        </w:tc>
      </w:tr>
      <w:tr w14:paraId="73218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10339" w:type="dxa"/>
            <w:gridSpan w:val="3"/>
            <w:tcBorders>
              <w:top w:val="single" w:color="auto" w:sz="4" w:space="0"/>
              <w:left w:val="single" w:color="auto" w:sz="4" w:space="0"/>
              <w:bottom w:val="single" w:color="auto" w:sz="4" w:space="0"/>
              <w:right w:val="single" w:color="auto" w:sz="4" w:space="0"/>
            </w:tcBorders>
            <w:noWrap w:val="0"/>
            <w:vAlign w:val="top"/>
          </w:tcPr>
          <w:p w14:paraId="1634359D">
            <w:pPr>
              <w:widowControl/>
              <w:spacing w:line="360" w:lineRule="auto"/>
              <w:jc w:val="left"/>
              <w:rPr>
                <w:rFonts w:hint="eastAsia"/>
                <w:color w:val="auto"/>
                <w:kern w:val="0"/>
                <w:sz w:val="24"/>
                <w:highlight w:val="none"/>
                <w:lang w:val="en-US" w:eastAsia="zh-CN"/>
              </w:rPr>
            </w:pPr>
            <w:r>
              <w:rPr>
                <w:rFonts w:hint="eastAsia"/>
                <w:color w:val="auto"/>
                <w:kern w:val="0"/>
                <w:sz w:val="24"/>
                <w:highlight w:val="none"/>
                <w:lang w:val="en-US" w:eastAsia="zh-CN"/>
              </w:rPr>
              <w:t>备注：</w:t>
            </w:r>
          </w:p>
        </w:tc>
      </w:tr>
    </w:tbl>
    <w:p w14:paraId="25A8E0AD">
      <w:pPr>
        <w:spacing w:line="400" w:lineRule="exact"/>
        <w:rPr>
          <w:rFonts w:hint="eastAsia" w:ascii="宋体" w:hAnsi="宋体"/>
          <w:color w:val="auto"/>
          <w:sz w:val="24"/>
          <w:highlight w:val="none"/>
        </w:rPr>
      </w:pPr>
    </w:p>
    <w:p w14:paraId="3A48E010">
      <w:pPr>
        <w:spacing w:line="400" w:lineRule="exact"/>
        <w:rPr>
          <w:rFonts w:hint="eastAsia" w:ascii="宋体" w:hAnsi="宋体"/>
          <w:color w:val="auto"/>
          <w:sz w:val="24"/>
          <w:highlight w:val="none"/>
        </w:rPr>
      </w:pPr>
      <w:r>
        <w:rPr>
          <w:rFonts w:hint="eastAsia" w:ascii="宋体" w:hAnsi="宋体"/>
          <w:color w:val="auto"/>
          <w:sz w:val="24"/>
          <w:highlight w:val="none"/>
        </w:rPr>
        <w:t>注</w:t>
      </w:r>
      <w:r>
        <w:rPr>
          <w:rFonts w:ascii="宋体" w:hAnsi="宋体"/>
          <w:color w:val="auto"/>
          <w:sz w:val="24"/>
          <w:highlight w:val="none"/>
        </w:rPr>
        <w:t>: 1</w:t>
      </w:r>
      <w:r>
        <w:rPr>
          <w:rFonts w:hint="eastAsia" w:ascii="宋体" w:hAnsi="宋体"/>
          <w:color w:val="auto"/>
          <w:sz w:val="24"/>
          <w:highlight w:val="none"/>
        </w:rPr>
        <w:t>、报价一经涂改，应在涂改处加盖单位公章或者由法定代表人或授权委托人签字或盖章，否则其投标作无效标处理。</w:t>
      </w:r>
    </w:p>
    <w:p w14:paraId="5E93AE97">
      <w:pPr>
        <w:spacing w:line="400" w:lineRule="exact"/>
        <w:ind w:firstLine="480" w:firstLineChars="200"/>
        <w:rPr>
          <w:rFonts w:hint="eastAsia" w:ascii="宋体" w:hAnsi="宋体"/>
          <w:color w:val="auto"/>
          <w:sz w:val="24"/>
          <w:highlight w:val="none"/>
        </w:rPr>
      </w:pPr>
      <w:r>
        <w:rPr>
          <w:rFonts w:hint="eastAsia" w:ascii="宋体" w:hAnsi="宋体"/>
          <w:color w:val="auto"/>
          <w:sz w:val="24"/>
          <w:highlight w:val="none"/>
          <w:lang w:val="en-US" w:eastAsia="zh-CN"/>
        </w:rPr>
        <w:t>2、</w:t>
      </w:r>
      <w:r>
        <w:rPr>
          <w:rFonts w:ascii="宋体" w:hAnsi="宋体"/>
          <w:color w:val="auto"/>
          <w:sz w:val="24"/>
          <w:highlight w:val="none"/>
        </w:rPr>
        <w:t>投标报价是履行合同的最终价格，应包括</w:t>
      </w:r>
      <w:r>
        <w:rPr>
          <w:rFonts w:hint="eastAsia" w:ascii="宋体" w:hAnsi="宋体"/>
          <w:color w:val="auto"/>
          <w:sz w:val="24"/>
          <w:highlight w:val="none"/>
        </w:rPr>
        <w:t>运维人员工资、社保、技术指导、售后服务、税金、利润等完成本项目服务的所有费用。投标人的报价如有缺漏项，也将被视为投标优惠，已包含在总价范围内。</w:t>
      </w:r>
    </w:p>
    <w:p w14:paraId="5E7E8A6F">
      <w:pPr>
        <w:pStyle w:val="2"/>
        <w:numPr>
          <w:ilvl w:val="0"/>
          <w:numId w:val="0"/>
        </w:numPr>
        <w:outlineLvl w:val="0"/>
        <w:rPr>
          <w:color w:val="auto"/>
          <w:highlight w:val="none"/>
        </w:rPr>
      </w:pPr>
    </w:p>
    <w:p w14:paraId="205C1CA5">
      <w:pPr>
        <w:snapToGrid w:val="0"/>
        <w:spacing w:before="50" w:after="50"/>
        <w:ind w:left="-3" w:leftChars="-72" w:right="-817" w:rightChars="-389" w:hanging="148" w:hangingChars="62"/>
        <w:jc w:val="center"/>
        <w:rPr>
          <w:rFonts w:hint="eastAsia" w:ascii="宋体" w:hAnsi="宋体"/>
          <w:color w:val="auto"/>
          <w:sz w:val="24"/>
          <w:highlight w:val="none"/>
        </w:rPr>
      </w:pPr>
      <w:r>
        <w:rPr>
          <w:rFonts w:hint="eastAsia" w:ascii="宋体" w:hAnsi="宋体"/>
          <w:color w:val="auto"/>
          <w:sz w:val="24"/>
          <w:highlight w:val="none"/>
        </w:rPr>
        <w:t xml:space="preserve">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投标人名称（盖章）：</w:t>
      </w:r>
    </w:p>
    <w:p w14:paraId="38627696">
      <w:pPr>
        <w:snapToGrid w:val="0"/>
        <w:spacing w:before="50" w:after="50"/>
        <w:ind w:firstLine="480" w:firstLineChars="200"/>
        <w:rPr>
          <w:rFonts w:ascii="宋体" w:hAnsi="宋体"/>
          <w:color w:val="auto"/>
          <w:sz w:val="24"/>
          <w:szCs w:val="20"/>
          <w:highlight w:val="none"/>
        </w:rPr>
      </w:pPr>
    </w:p>
    <w:p w14:paraId="26EB378A">
      <w:pPr>
        <w:snapToGrid w:val="0"/>
        <w:spacing w:before="50" w:after="50"/>
        <w:ind w:left="-3" w:leftChars="-72" w:right="-817" w:rightChars="-389" w:hanging="148" w:hangingChars="62"/>
        <w:jc w:val="center"/>
        <w:rPr>
          <w:rFonts w:ascii="宋体" w:hAnsi="宋体"/>
          <w:color w:val="auto"/>
          <w:sz w:val="24"/>
          <w:szCs w:val="20"/>
          <w:highlight w:val="none"/>
        </w:rPr>
      </w:pPr>
      <w:r>
        <w:rPr>
          <w:rFonts w:hint="eastAsia" w:ascii="宋体" w:hAnsi="宋体"/>
          <w:color w:val="auto"/>
          <w:sz w:val="24"/>
          <w:highlight w:val="none"/>
          <w:lang w:val="en-US" w:eastAsia="zh-CN"/>
        </w:rPr>
        <w:t xml:space="preserve">                 </w:t>
      </w:r>
      <w:r>
        <w:rPr>
          <w:rFonts w:hint="eastAsia" w:ascii="宋体" w:hAnsi="宋体"/>
          <w:color w:val="auto"/>
          <w:sz w:val="24"/>
          <w:highlight w:val="none"/>
        </w:rPr>
        <w:t>法定代表人或授权代表（签字）：</w:t>
      </w:r>
    </w:p>
    <w:p w14:paraId="05AF8D7B">
      <w:pPr>
        <w:snapToGrid w:val="0"/>
        <w:spacing w:before="50" w:after="50"/>
        <w:ind w:left="-3" w:leftChars="-72" w:right="-817" w:rightChars="-389" w:hanging="148" w:hangingChars="62"/>
        <w:jc w:val="center"/>
        <w:rPr>
          <w:rFonts w:hint="eastAsia" w:ascii="宋体" w:hAnsi="宋体"/>
          <w:color w:val="auto"/>
          <w:sz w:val="24"/>
          <w:highlight w:val="none"/>
          <w:lang w:val="en-US" w:eastAsia="zh-CN"/>
        </w:rPr>
      </w:pPr>
    </w:p>
    <w:p w14:paraId="27C7FAA8">
      <w:pPr>
        <w:snapToGrid w:val="0"/>
        <w:spacing w:before="50" w:after="50"/>
        <w:ind w:left="88" w:leftChars="42" w:right="-817" w:rightChars="-389" w:firstLine="3681" w:firstLineChars="1534"/>
        <w:jc w:val="left"/>
        <w:rPr>
          <w:rFonts w:ascii="宋体" w:hAnsi="宋体"/>
          <w:color w:val="auto"/>
          <w:sz w:val="24"/>
          <w:highlight w:val="none"/>
        </w:rPr>
      </w:pPr>
      <w:r>
        <w:rPr>
          <w:rFonts w:hint="eastAsia" w:ascii="宋体" w:hAnsi="宋体"/>
          <w:color w:val="auto"/>
          <w:sz w:val="24"/>
          <w:highlight w:val="none"/>
          <w:lang w:val="en-US" w:eastAsia="zh-CN"/>
        </w:rPr>
        <w:t>联系方式：</w:t>
      </w:r>
      <w:r>
        <w:rPr>
          <w:rFonts w:ascii="宋体" w:hAnsi="宋体"/>
          <w:color w:val="auto"/>
          <w:sz w:val="24"/>
          <w:highlight w:val="none"/>
        </w:rPr>
        <w:t xml:space="preserve">                   </w:t>
      </w:r>
      <w:r>
        <w:rPr>
          <w:rFonts w:hint="eastAsia" w:ascii="宋体" w:hAnsi="宋体"/>
          <w:color w:val="auto"/>
          <w:sz w:val="24"/>
          <w:highlight w:val="none"/>
        </w:rPr>
        <w:t xml:space="preserve">  </w:t>
      </w:r>
      <w:r>
        <w:rPr>
          <w:rFonts w:ascii="宋体" w:hAnsi="宋体"/>
          <w:color w:val="auto"/>
          <w:sz w:val="24"/>
          <w:highlight w:val="none"/>
        </w:rPr>
        <w:t xml:space="preserve">        </w:t>
      </w:r>
    </w:p>
    <w:p w14:paraId="623AB384">
      <w:pPr>
        <w:snapToGrid w:val="0"/>
        <w:spacing w:before="50" w:after="50"/>
        <w:ind w:left="-3" w:leftChars="-72" w:right="-817" w:rightChars="-389" w:hanging="148" w:hangingChars="62"/>
        <w:jc w:val="center"/>
        <w:rPr>
          <w:rFonts w:hint="eastAsia" w:ascii="宋体" w:hAnsi="宋体"/>
          <w:color w:val="auto"/>
          <w:sz w:val="24"/>
          <w:highlight w:val="none"/>
          <w:lang w:val="en-US" w:eastAsia="zh-CN"/>
        </w:rPr>
      </w:pPr>
      <w:r>
        <w:rPr>
          <w:rFonts w:hint="eastAsia" w:ascii="宋体" w:hAnsi="宋体"/>
          <w:color w:val="auto"/>
          <w:sz w:val="24"/>
          <w:highlight w:val="none"/>
          <w:lang w:val="en-US" w:eastAsia="zh-CN"/>
        </w:rPr>
        <w:t xml:space="preserve">     </w:t>
      </w:r>
    </w:p>
    <w:p w14:paraId="5F7740EB">
      <w:pPr>
        <w:snapToGrid w:val="0"/>
        <w:spacing w:before="50" w:after="50"/>
        <w:ind w:left="-3" w:leftChars="-72" w:right="-817" w:rightChars="-389" w:hanging="148" w:hangingChars="62"/>
        <w:jc w:val="center"/>
        <w:rPr>
          <w:color w:val="auto"/>
          <w:highlight w:val="none"/>
        </w:rPr>
      </w:pPr>
      <w:r>
        <w:rPr>
          <w:rFonts w:hint="eastAsia" w:ascii="宋体" w:hAnsi="宋体"/>
          <w:color w:val="auto"/>
          <w:sz w:val="24"/>
          <w:highlight w:val="none"/>
          <w:lang w:val="en-US" w:eastAsia="zh-CN"/>
        </w:rPr>
        <w:t xml:space="preserve">          </w:t>
      </w:r>
      <w:r>
        <w:rPr>
          <w:rFonts w:hint="eastAsia" w:ascii="宋体" w:hAnsi="宋体"/>
          <w:color w:val="auto"/>
          <w:sz w:val="24"/>
          <w:highlight w:val="none"/>
        </w:rPr>
        <w:t>日期：</w:t>
      </w:r>
      <w:r>
        <w:rPr>
          <w:rFonts w:ascii="宋体" w:hAnsi="宋体"/>
          <w:color w:val="auto"/>
          <w:sz w:val="24"/>
          <w:highlight w:val="none"/>
        </w:rPr>
        <w:t xml:space="preserve">    </w:t>
      </w:r>
      <w:r>
        <w:rPr>
          <w:rFonts w:hint="eastAsia" w:ascii="宋体" w:hAnsi="宋体"/>
          <w:color w:val="auto"/>
          <w:sz w:val="24"/>
          <w:highlight w:val="none"/>
        </w:rPr>
        <w:t>年</w:t>
      </w:r>
      <w:r>
        <w:rPr>
          <w:rFonts w:ascii="宋体" w:hAnsi="宋体"/>
          <w:color w:val="auto"/>
          <w:sz w:val="24"/>
          <w:highlight w:val="none"/>
        </w:rPr>
        <w:t xml:space="preserve">   </w:t>
      </w:r>
      <w:r>
        <w:rPr>
          <w:rFonts w:hint="eastAsia" w:ascii="宋体" w:hAnsi="宋体"/>
          <w:color w:val="auto"/>
          <w:sz w:val="24"/>
          <w:highlight w:val="none"/>
        </w:rPr>
        <w:t>月</w:t>
      </w:r>
      <w:r>
        <w:rPr>
          <w:rFonts w:ascii="宋体" w:hAnsi="宋体"/>
          <w:color w:val="auto"/>
          <w:sz w:val="24"/>
          <w:highlight w:val="none"/>
        </w:rPr>
        <w:t xml:space="preserve">   </w:t>
      </w:r>
      <w:r>
        <w:rPr>
          <w:rFonts w:hint="eastAsia" w:ascii="宋体" w:hAnsi="宋体"/>
          <w:color w:val="auto"/>
          <w:sz w:val="24"/>
          <w:highlight w:val="none"/>
        </w:rPr>
        <w:t>日</w:t>
      </w:r>
    </w:p>
    <w:p w14:paraId="2C23E261">
      <w:pPr>
        <w:rPr>
          <w:rFonts w:hint="eastAsia" w:eastAsia="宋体"/>
          <w:color w:val="auto"/>
          <w:highlight w:val="none"/>
          <w:lang w:val="en-US" w:eastAsia="zh-CN"/>
        </w:rPr>
      </w:pPr>
    </w:p>
    <w:sectPr>
      <w:pgSz w:w="11906" w:h="16838"/>
      <w:pgMar w:top="1440" w:right="1800" w:bottom="1440" w:left="1800" w:header="851" w:footer="992" w:gutter="0"/>
      <w:pgBorders w:offsetFrom="page">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swiss"/>
    <w:pitch w:val="default"/>
    <w:sig w:usb0="E0002EFF" w:usb1="C000785B" w:usb2="00000009" w:usb3="00000000" w:csb0="400001FF" w:csb1="FFFF0000"/>
  </w:font>
  <w:font w:name="宋体">
    <w:panose1 w:val="02010600030101010101"/>
    <w:charset w:val="81"/>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新宋体">
    <w:panose1 w:val="02010609030101010101"/>
    <w:charset w:val="86"/>
    <w:family w:val="modern"/>
    <w:pitch w:val="default"/>
    <w:sig w:usb0="00000283" w:usb1="288F0000" w:usb2="00000006" w:usb3="00000000" w:csb0="00040001" w:csb1="00000000"/>
  </w:font>
  <w:font w:name="创艺简标宋">
    <w:altName w:val="黑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C7327">
    <w:pPr>
      <w:pStyle w:val="9"/>
      <w:framePr w:wrap="around" w:vAnchor="text" w:hAnchor="margin" w:xAlign="center" w:y="1"/>
      <w:rPr>
        <w:rStyle w:val="17"/>
      </w:rPr>
    </w:pPr>
    <w:r>
      <w:fldChar w:fldCharType="begin"/>
    </w:r>
    <w:r>
      <w:rPr>
        <w:rStyle w:val="17"/>
      </w:rPr>
      <w:instrText xml:space="preserve">PAGE  </w:instrText>
    </w:r>
    <w:r>
      <w:fldChar w:fldCharType="separate"/>
    </w:r>
    <w:r>
      <w:rPr>
        <w:rStyle w:val="17"/>
      </w:rPr>
      <w:t>- 39 -</w:t>
    </w:r>
    <w:r>
      <w:fldChar w:fldCharType="end"/>
    </w:r>
  </w:p>
  <w:p w14:paraId="47F4A208">
    <w:pPr>
      <w:pStyle w:val="9"/>
      <w:rPr>
        <w:rFonts w:hint="eastAsia"/>
      </w:rPr>
    </w:pP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63CB1">
    <w:pPr>
      <w:spacing w:line="196" w:lineRule="auto"/>
      <w:ind w:left="4767"/>
      <w:rPr>
        <w:rFonts w:ascii="Times New Roman" w:hAnsi="Times New Roman" w:eastAsia="Times New Roman" w:cs="Times New Roman"/>
        <w:sz w:val="17"/>
        <w:szCs w:val="17"/>
      </w:rPr>
    </w:pPr>
    <w:r>
      <w:rPr>
        <w:rFonts w:ascii="Times New Roman" w:hAnsi="Times New Roman" w:eastAsia="Times New Roman" w:cs="Times New Roman"/>
        <w:spacing w:val="-5"/>
        <w:sz w:val="17"/>
        <w:szCs w:val="17"/>
      </w:rPr>
      <w:t>12</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F416C">
    <w:pPr>
      <w:pStyle w:val="10"/>
      <w:pBdr>
        <w:bottom w:val="none" w:color="auto" w:sz="0" w:space="1"/>
      </w:pBdr>
      <w:rPr>
        <w:rFonts w:hint="default"/>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2FCE78"/>
    <w:multiLevelType w:val="singleLevel"/>
    <w:tmpl w:val="B72FCE78"/>
    <w:lvl w:ilvl="0" w:tentative="0">
      <w:start w:val="2"/>
      <w:numFmt w:val="decimal"/>
      <w:suff w:val="nothing"/>
      <w:lvlText w:val="%1、"/>
      <w:lvlJc w:val="left"/>
    </w:lvl>
  </w:abstractNum>
  <w:abstractNum w:abstractNumId="1">
    <w:nsid w:val="C433E2BD"/>
    <w:multiLevelType w:val="singleLevel"/>
    <w:tmpl w:val="C433E2BD"/>
    <w:lvl w:ilvl="0" w:tentative="0">
      <w:start w:val="8"/>
      <w:numFmt w:val="chineseCounting"/>
      <w:suff w:val="nothing"/>
      <w:lvlText w:val="%1、"/>
      <w:lvlJc w:val="left"/>
      <w:rPr>
        <w:rFonts w:hint="eastAsia"/>
      </w:rPr>
    </w:lvl>
  </w:abstractNum>
  <w:abstractNum w:abstractNumId="2">
    <w:nsid w:val="0E1C91D1"/>
    <w:multiLevelType w:val="singleLevel"/>
    <w:tmpl w:val="0E1C91D1"/>
    <w:lvl w:ilvl="0" w:tentative="0">
      <w:start w:val="1"/>
      <w:numFmt w:val="decimal"/>
      <w:suff w:val="nothing"/>
      <w:lvlText w:val="（%1）"/>
      <w:lvlJc w:val="left"/>
    </w:lvl>
  </w:abstractNum>
  <w:abstractNum w:abstractNumId="3">
    <w:nsid w:val="1A541B1F"/>
    <w:multiLevelType w:val="multilevel"/>
    <w:tmpl w:val="1A541B1F"/>
    <w:lvl w:ilvl="0" w:tentative="0">
      <w:start w:val="1"/>
      <w:numFmt w:val="decimal"/>
      <w:lvlText w:val="%1."/>
      <w:lvlJc w:val="left"/>
      <w:pPr>
        <w:tabs>
          <w:tab w:val="left" w:pos="312"/>
        </w:tabs>
      </w:p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4">
    <w:nsid w:val="763060DB"/>
    <w:multiLevelType w:val="multilevel"/>
    <w:tmpl w:val="763060DB"/>
    <w:lvl w:ilvl="0" w:tentative="0">
      <w:start w:val="1"/>
      <w:numFmt w:val="japaneseCounting"/>
      <w:lvlText w:val="第%1章"/>
      <w:lvlJc w:val="left"/>
      <w:pPr>
        <w:tabs>
          <w:tab w:val="left" w:pos="2715"/>
        </w:tabs>
        <w:ind w:left="2715" w:hanging="1275"/>
      </w:pPr>
      <w:rPr>
        <w:rFonts w:hint="eastAsia"/>
      </w:rPr>
    </w:lvl>
    <w:lvl w:ilvl="1" w:tentative="0">
      <w:start w:val="1"/>
      <w:numFmt w:val="japaneseCounting"/>
      <w:lvlText w:val="%2、"/>
      <w:lvlJc w:val="left"/>
      <w:pPr>
        <w:tabs>
          <w:tab w:val="left" w:pos="2580"/>
        </w:tabs>
        <w:ind w:left="2580" w:hanging="720"/>
      </w:pPr>
      <w:rPr>
        <w:rFonts w:hint="eastAsia"/>
      </w:rPr>
    </w:lvl>
    <w:lvl w:ilvl="2" w:tentative="0">
      <w:start w:val="1"/>
      <w:numFmt w:val="lowerRoman"/>
      <w:lvlText w:val="%3."/>
      <w:lvlJc w:val="right"/>
      <w:pPr>
        <w:tabs>
          <w:tab w:val="left" w:pos="2700"/>
        </w:tabs>
        <w:ind w:left="2700" w:hanging="420"/>
      </w:pPr>
    </w:lvl>
    <w:lvl w:ilvl="3" w:tentative="0">
      <w:start w:val="1"/>
      <w:numFmt w:val="decimal"/>
      <w:lvlText w:val="%4."/>
      <w:lvlJc w:val="left"/>
      <w:pPr>
        <w:tabs>
          <w:tab w:val="left" w:pos="3120"/>
        </w:tabs>
        <w:ind w:left="3120" w:hanging="420"/>
      </w:pPr>
    </w:lvl>
    <w:lvl w:ilvl="4" w:tentative="0">
      <w:start w:val="1"/>
      <w:numFmt w:val="lowerLetter"/>
      <w:lvlText w:val="%5)"/>
      <w:lvlJc w:val="left"/>
      <w:pPr>
        <w:tabs>
          <w:tab w:val="left" w:pos="3540"/>
        </w:tabs>
        <w:ind w:left="3540" w:hanging="420"/>
      </w:pPr>
    </w:lvl>
    <w:lvl w:ilvl="5" w:tentative="0">
      <w:start w:val="1"/>
      <w:numFmt w:val="lowerRoman"/>
      <w:lvlText w:val="%6."/>
      <w:lvlJc w:val="right"/>
      <w:pPr>
        <w:tabs>
          <w:tab w:val="left" w:pos="3960"/>
        </w:tabs>
        <w:ind w:left="3960" w:hanging="420"/>
      </w:pPr>
    </w:lvl>
    <w:lvl w:ilvl="6" w:tentative="0">
      <w:start w:val="1"/>
      <w:numFmt w:val="decimal"/>
      <w:lvlText w:val="%7."/>
      <w:lvlJc w:val="left"/>
      <w:pPr>
        <w:tabs>
          <w:tab w:val="left" w:pos="4380"/>
        </w:tabs>
        <w:ind w:left="4380" w:hanging="420"/>
      </w:pPr>
    </w:lvl>
    <w:lvl w:ilvl="7" w:tentative="0">
      <w:start w:val="1"/>
      <w:numFmt w:val="lowerLetter"/>
      <w:lvlText w:val="%8)"/>
      <w:lvlJc w:val="left"/>
      <w:pPr>
        <w:tabs>
          <w:tab w:val="left" w:pos="4800"/>
        </w:tabs>
        <w:ind w:left="4800" w:hanging="420"/>
      </w:pPr>
    </w:lvl>
    <w:lvl w:ilvl="8" w:tentative="0">
      <w:start w:val="1"/>
      <w:numFmt w:val="lowerRoman"/>
      <w:lvlText w:val="%9."/>
      <w:lvlJc w:val="right"/>
      <w:pPr>
        <w:tabs>
          <w:tab w:val="left" w:pos="5220"/>
        </w:tabs>
        <w:ind w:left="5220" w:hanging="420"/>
      </w:pPr>
    </w:lvl>
  </w:abstractNum>
  <w:num w:numId="1">
    <w:abstractNumId w:val="1"/>
  </w:num>
  <w:num w:numId="2">
    <w:abstractNumId w:val="3"/>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NkNTMxNWFiMTQxZDJkMzU0MTM1MTJiYThjZTE2ZjQifQ=="/>
  </w:docVars>
  <w:rsids>
    <w:rsidRoot w:val="00000000"/>
    <w:rsid w:val="00FF1EBA"/>
    <w:rsid w:val="06F34A0E"/>
    <w:rsid w:val="0A746F8B"/>
    <w:rsid w:val="0F227143"/>
    <w:rsid w:val="13384356"/>
    <w:rsid w:val="17C5084B"/>
    <w:rsid w:val="19731199"/>
    <w:rsid w:val="1A29697E"/>
    <w:rsid w:val="1C2908DF"/>
    <w:rsid w:val="1FD3746A"/>
    <w:rsid w:val="24802B27"/>
    <w:rsid w:val="27807E41"/>
    <w:rsid w:val="2B171719"/>
    <w:rsid w:val="2CF34638"/>
    <w:rsid w:val="2DE8492C"/>
    <w:rsid w:val="30027791"/>
    <w:rsid w:val="325A51C2"/>
    <w:rsid w:val="331B42A4"/>
    <w:rsid w:val="3676124D"/>
    <w:rsid w:val="41AF1B95"/>
    <w:rsid w:val="41C64AAB"/>
    <w:rsid w:val="422426D8"/>
    <w:rsid w:val="46C85CDB"/>
    <w:rsid w:val="483C4E83"/>
    <w:rsid w:val="49E64FC1"/>
    <w:rsid w:val="4C1C532A"/>
    <w:rsid w:val="4DD63C2C"/>
    <w:rsid w:val="4E080D95"/>
    <w:rsid w:val="57C641C9"/>
    <w:rsid w:val="57C92B6A"/>
    <w:rsid w:val="5A652ECC"/>
    <w:rsid w:val="5B03446E"/>
    <w:rsid w:val="5C4F6D5E"/>
    <w:rsid w:val="5CE73451"/>
    <w:rsid w:val="610879CB"/>
    <w:rsid w:val="66A202BB"/>
    <w:rsid w:val="720D4290"/>
    <w:rsid w:val="75484091"/>
    <w:rsid w:val="7A003CFB"/>
    <w:rsid w:val="7A1901AB"/>
    <w:rsid w:val="7C5855EB"/>
    <w:rsid w:val="7F575AD5"/>
    <w:rsid w:val="7F9F20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paragraph" w:styleId="3">
    <w:name w:val="heading 4"/>
    <w:basedOn w:val="1"/>
    <w:next w:val="1"/>
    <w:qFormat/>
    <w:uiPriority w:val="0"/>
    <w:pPr>
      <w:keepNext/>
      <w:keepLines/>
      <w:spacing w:line="540" w:lineRule="atLeast"/>
      <w:outlineLvl w:val="3"/>
    </w:pPr>
    <w:rPr>
      <w:sz w:val="28"/>
      <w:szCs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Normal Indent"/>
    <w:basedOn w:val="1"/>
    <w:next w:val="5"/>
    <w:qFormat/>
    <w:uiPriority w:val="99"/>
    <w:pPr>
      <w:adjustRightInd w:val="0"/>
      <w:spacing w:line="312" w:lineRule="atLeast"/>
      <w:ind w:firstLine="420"/>
      <w:textAlignment w:val="baseline"/>
    </w:pPr>
    <w:rPr>
      <w:kern w:val="0"/>
      <w:szCs w:val="20"/>
    </w:rPr>
  </w:style>
  <w:style w:type="paragraph" w:styleId="5">
    <w:name w:val="Body Text Indent"/>
    <w:basedOn w:val="1"/>
    <w:next w:val="4"/>
    <w:qFormat/>
    <w:uiPriority w:val="0"/>
    <w:pPr>
      <w:ind w:left="480" w:hanging="480" w:hangingChars="200"/>
    </w:pPr>
    <w:rPr>
      <w:sz w:val="24"/>
    </w:rPr>
  </w:style>
  <w:style w:type="paragraph" w:styleId="6">
    <w:name w:val="annotation text"/>
    <w:basedOn w:val="1"/>
    <w:qFormat/>
    <w:uiPriority w:val="0"/>
    <w:pPr>
      <w:jc w:val="left"/>
    </w:pPr>
  </w:style>
  <w:style w:type="paragraph" w:styleId="7">
    <w:name w:val="Body Text"/>
    <w:basedOn w:val="1"/>
    <w:qFormat/>
    <w:uiPriority w:val="0"/>
    <w:pPr>
      <w:spacing w:after="120" w:afterLines="0"/>
    </w:pPr>
  </w:style>
  <w:style w:type="paragraph" w:styleId="8">
    <w:name w:val="Plain Text"/>
    <w:basedOn w:val="1"/>
    <w:qFormat/>
    <w:uiPriority w:val="0"/>
    <w:rPr>
      <w:rFonts w:ascii="宋体" w:hAnsi="Courier New" w:cs="Courier New"/>
      <w:szCs w:val="21"/>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2">
    <w:name w:val="Body Text First Indent 2"/>
    <w:basedOn w:val="5"/>
    <w:next w:val="1"/>
    <w:qFormat/>
    <w:uiPriority w:val="0"/>
    <w:pPr>
      <w:spacing w:after="120" w:line="240" w:lineRule="auto"/>
      <w:ind w:left="420" w:leftChars="200" w:firstLine="420"/>
    </w:pPr>
    <w:rPr>
      <w:shd w:val="clear" w:color="auto" w:fill="auto"/>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page number"/>
    <w:basedOn w:val="15"/>
    <w:qFormat/>
    <w:uiPriority w:val="0"/>
  </w:style>
  <w:style w:type="paragraph" w:customStyle="1" w:styleId="18">
    <w:name w:val="BodyText"/>
    <w:basedOn w:val="1"/>
    <w:qFormat/>
    <w:uiPriority w:val="0"/>
    <w:pPr>
      <w:spacing w:after="120"/>
      <w:jc w:val="both"/>
      <w:textAlignment w:val="baseline"/>
    </w:pPr>
  </w:style>
  <w:style w:type="character" w:customStyle="1" w:styleId="19">
    <w:name w:val="NormalCharacter"/>
    <w:qFormat/>
    <w:uiPriority w:val="0"/>
    <w:rPr>
      <w:kern w:val="2"/>
      <w:sz w:val="21"/>
      <w:szCs w:val="24"/>
      <w:lang w:val="en-US" w:eastAsia="zh-CN" w:bidi="ar-SA"/>
    </w:rPr>
  </w:style>
  <w:style w:type="character" w:customStyle="1" w:styleId="20">
    <w:name w:val="font31"/>
    <w:basedOn w:val="15"/>
    <w:qFormat/>
    <w:uiPriority w:val="0"/>
    <w:rPr>
      <w:rFonts w:hint="eastAsia" w:ascii="宋体" w:hAnsi="宋体" w:eastAsia="宋体" w:cs="宋体"/>
      <w:color w:val="000000"/>
      <w:sz w:val="21"/>
      <w:szCs w:val="21"/>
      <w:u w:val="none"/>
    </w:rPr>
  </w:style>
  <w:style w:type="character" w:customStyle="1" w:styleId="21">
    <w:name w:val="font01"/>
    <w:basedOn w:val="15"/>
    <w:qFormat/>
    <w:uiPriority w:val="0"/>
    <w:rPr>
      <w:rFonts w:ascii="Calibri" w:hAnsi="Calibri" w:cs="Calibri"/>
      <w:color w:val="000000"/>
      <w:sz w:val="21"/>
      <w:szCs w:val="21"/>
      <w:u w:val="none"/>
    </w:rPr>
  </w:style>
  <w:style w:type="character" w:customStyle="1" w:styleId="22">
    <w:name w:val="font61"/>
    <w:basedOn w:val="15"/>
    <w:qFormat/>
    <w:uiPriority w:val="0"/>
    <w:rPr>
      <w:rFonts w:hint="eastAsia" w:ascii="宋体" w:hAnsi="宋体" w:eastAsia="宋体" w:cs="宋体"/>
      <w:color w:val="000000"/>
      <w:sz w:val="21"/>
      <w:szCs w:val="21"/>
      <w:u w:val="none"/>
    </w:rPr>
  </w:style>
  <w:style w:type="table" w:customStyle="1" w:styleId="23">
    <w:name w:val="Table Normal"/>
    <w:semiHidden/>
    <w:unhideWhenUsed/>
    <w:qFormat/>
    <w:uiPriority w:val="0"/>
    <w:tblPr>
      <w:tblCellMar>
        <w:top w:w="0" w:type="dxa"/>
        <w:left w:w="0" w:type="dxa"/>
        <w:bottom w:w="0" w:type="dxa"/>
        <w:right w:w="0" w:type="dxa"/>
      </w:tblCellMar>
    </w:tblPr>
  </w:style>
  <w:style w:type="paragraph" w:customStyle="1" w:styleId="24">
    <w:name w:val="标题 7 New"/>
    <w:basedOn w:val="1"/>
    <w:next w:val="1"/>
    <w:qFormat/>
    <w:uiPriority w:val="0"/>
    <w:pPr>
      <w:keepNext/>
      <w:keepLines/>
      <w:widowControl/>
      <w:tabs>
        <w:tab w:val="left" w:pos="2520"/>
      </w:tabs>
      <w:spacing w:before="240" w:beforeLines="0" w:after="64" w:afterLines="0" w:line="317" w:lineRule="auto"/>
      <w:ind w:left="1296" w:hanging="1296"/>
      <w:jc w:val="left"/>
      <w:outlineLvl w:val="6"/>
    </w:pPr>
    <w:rPr>
      <w:b/>
      <w:kern w:val="0"/>
      <w:szCs w:val="20"/>
    </w:rPr>
  </w:style>
  <w:style w:type="character" w:customStyle="1" w:styleId="25">
    <w:name w:val="font41"/>
    <w:basedOn w:val="15"/>
    <w:qFormat/>
    <w:uiPriority w:val="0"/>
    <w:rPr>
      <w:rFonts w:hint="eastAsia" w:ascii="微软雅黑" w:hAnsi="微软雅黑" w:eastAsia="微软雅黑" w:cs="微软雅黑"/>
      <w:color w:val="000000"/>
      <w:sz w:val="32"/>
      <w:szCs w:val="32"/>
      <w:u w:val="none"/>
    </w:rPr>
  </w:style>
  <w:style w:type="character" w:customStyle="1" w:styleId="26">
    <w:name w:val="font51"/>
    <w:basedOn w:val="15"/>
    <w:qFormat/>
    <w:uiPriority w:val="0"/>
    <w:rPr>
      <w:rFonts w:hint="eastAsia" w:ascii="微软雅黑" w:hAnsi="微软雅黑" w:eastAsia="微软雅黑" w:cs="微软雅黑"/>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2446</Words>
  <Characters>2600</Characters>
  <Lines>0</Lines>
  <Paragraphs>0</Paragraphs>
  <TotalTime>13</TotalTime>
  <ScaleCrop>false</ScaleCrop>
  <LinksUpToDate>false</LinksUpToDate>
  <CharactersWithSpaces>2713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2023-06-12T08:23:00Z</dcterms:created>
  <dc:creator>Administrator</dc:creator>
  <cp:lastModifiedBy>肖恩美</cp:lastModifiedBy>
  <cp:lastPrinted>2026-06-16T02:05:00Z</cp:lastPrinted>
  <dcterms:modified xsi:type="dcterms:W3CDTF">2026-08-19T01:35:20Z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F52D7E570BC24A4CABD7689297ED1CDC_13</vt:lpwstr>
  </property>
  <property fmtid="{D5CDD505-2E9C-101B-9397-08002B2CF9AE}" pid="4" name="KSOTemplateDocerSaveRecord">
    <vt:lpwstr>eyJoZGlkIjoiMDIwNmMzNTY2ODdhNjgwMmQzYmZjM2Q2MDIwMDA2NWMiLCJ1c2VySWQiOiIzMDk3OTQyOTcifQ==</vt:lpwstr>
  </property>
</Properties>
</file>