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14:paraId="5A94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jc w:val="center"/>
        </w:trPr>
        <w:tc>
          <w:tcPr>
            <w:tcW w:w="8567" w:type="dxa"/>
            <w:vAlign w:val="top"/>
          </w:tcPr>
          <w:p w14:paraId="75DCECAA">
            <w:pPr>
              <w:jc w:val="center"/>
              <w:rPr>
                <w:rFonts w:hint="default" w:eastAsiaTheme="minorEastAsia"/>
                <w:sz w:val="28"/>
                <w:szCs w:val="28"/>
                <w:lang w:val="en-US" w:eastAsia="zh-CN"/>
              </w:rPr>
            </w:pPr>
            <w:r>
              <w:rPr>
                <w:rFonts w:hint="eastAsia"/>
                <w:sz w:val="28"/>
                <w:szCs w:val="28"/>
                <w:lang w:val="en-US" w:eastAsia="zh-CN"/>
              </w:rPr>
              <w:t xml:space="preserve"> 转运心电监护仪</w:t>
            </w:r>
            <w:r>
              <w:rPr>
                <w:rFonts w:hint="eastAsia"/>
                <w:sz w:val="28"/>
                <w:szCs w:val="28"/>
              </w:rPr>
              <w:t xml:space="preserve"> </w:t>
            </w:r>
            <w:r>
              <w:rPr>
                <w:rFonts w:hint="eastAsia"/>
                <w:sz w:val="28"/>
                <w:szCs w:val="28"/>
                <w:lang w:val="en-US" w:eastAsia="zh-CN"/>
              </w:rPr>
              <w:t xml:space="preserve">   </w:t>
            </w:r>
          </w:p>
          <w:p w14:paraId="4A809E35">
            <w:pPr>
              <w:jc w:val="center"/>
              <w:rPr>
                <w:rFonts w:hint="default"/>
                <w:sz w:val="28"/>
                <w:szCs w:val="28"/>
                <w:lang w:val="en-US"/>
              </w:rPr>
            </w:pPr>
            <w:r>
              <w:rPr>
                <w:rFonts w:hint="eastAsia"/>
                <w:sz w:val="28"/>
                <w:szCs w:val="28"/>
                <w:lang w:val="en-US" w:eastAsia="zh-CN"/>
              </w:rPr>
              <w:t>数量：1台      预算单价： 5万元</w:t>
            </w:r>
          </w:p>
        </w:tc>
      </w:tr>
      <w:tr w14:paraId="47BB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567" w:type="dxa"/>
            <w:vAlign w:val="top"/>
          </w:tcPr>
          <w:p w14:paraId="2EC11491">
            <w:pPr>
              <w:rPr>
                <w:sz w:val="28"/>
                <w:szCs w:val="28"/>
              </w:rPr>
            </w:pPr>
            <w:r>
              <w:rPr>
                <w:rFonts w:hint="eastAsia"/>
                <w:sz w:val="28"/>
                <w:szCs w:val="28"/>
              </w:rPr>
              <w:t>一．技术参数</w:t>
            </w:r>
          </w:p>
        </w:tc>
      </w:tr>
      <w:tr w14:paraId="6B1D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2" w:hRule="atLeast"/>
          <w:jc w:val="center"/>
        </w:trPr>
        <w:tc>
          <w:tcPr>
            <w:tcW w:w="8567" w:type="dxa"/>
            <w:vAlign w:val="top"/>
          </w:tcPr>
          <w:p w14:paraId="7F32641E">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eastAsiaTheme="minorEastAsia"/>
                <w:b w:val="0"/>
                <w:bCs/>
                <w:color w:val="auto"/>
                <w:szCs w:val="21"/>
                <w:lang w:val="en-US" w:eastAsia="zh-CN"/>
              </w:rPr>
            </w:pPr>
            <w:r>
              <w:rPr>
                <w:rFonts w:hint="default"/>
                <w:b w:val="0"/>
                <w:bCs/>
                <w:color w:val="auto"/>
                <w:szCs w:val="21"/>
                <w:lang w:val="en-US" w:eastAsia="zh-CN"/>
              </w:rPr>
              <w:t>1</w:t>
            </w:r>
            <w:r>
              <w:rPr>
                <w:rFonts w:hint="default"/>
                <w:b w:val="0"/>
                <w:bCs/>
                <w:color w:val="auto"/>
                <w:szCs w:val="21"/>
                <w:lang w:val="en-US" w:eastAsia="zh-CN"/>
              </w:rPr>
              <w:tab/>
            </w:r>
            <w:r>
              <w:rPr>
                <w:rFonts w:hint="eastAsia"/>
                <w:color w:val="auto"/>
              </w:rPr>
              <w:t>彩色液晶触摸显示屏，分辨率</w:t>
            </w:r>
            <w:r>
              <w:rPr>
                <w:rFonts w:hint="eastAsia"/>
                <w:color w:val="auto"/>
                <w:lang w:val="en-US" w:eastAsia="zh-CN"/>
              </w:rPr>
              <w:t>≥</w:t>
            </w:r>
            <w:r>
              <w:rPr>
                <w:rFonts w:hint="eastAsia"/>
                <w:color w:val="auto"/>
              </w:rPr>
              <w:t>1280 x</w:t>
            </w:r>
            <w:r>
              <w:rPr>
                <w:color w:val="auto"/>
              </w:rPr>
              <w:t xml:space="preserve"> </w:t>
            </w:r>
            <w:r>
              <w:rPr>
                <w:rFonts w:hint="eastAsia"/>
                <w:color w:val="auto"/>
              </w:rPr>
              <w:t>720</w:t>
            </w:r>
            <w:r>
              <w:rPr>
                <w:color w:val="auto"/>
              </w:rPr>
              <w:t>像素</w:t>
            </w:r>
            <w:r>
              <w:rPr>
                <w:rFonts w:hint="eastAsia"/>
                <w:color w:val="auto"/>
                <w:lang w:eastAsia="zh-CN"/>
              </w:rPr>
              <w:t>，</w:t>
            </w:r>
            <w:r>
              <w:rPr>
                <w:rFonts w:hint="eastAsia"/>
                <w:color w:val="auto"/>
              </w:rPr>
              <w:t>提供多点触摸和手势操作功能</w:t>
            </w:r>
            <w:r>
              <w:rPr>
                <w:rFonts w:hint="eastAsia"/>
                <w:color w:val="auto"/>
                <w:lang w:val="en-US" w:eastAsia="zh-CN"/>
              </w:rPr>
              <w:t>.</w:t>
            </w:r>
          </w:p>
          <w:p w14:paraId="282ED8F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2</w:t>
            </w:r>
            <w:r>
              <w:rPr>
                <w:rFonts w:hint="default"/>
                <w:b w:val="0"/>
                <w:bCs/>
                <w:color w:val="auto"/>
                <w:szCs w:val="21"/>
                <w:lang w:val="en-US" w:eastAsia="zh-CN"/>
              </w:rPr>
              <w:tab/>
            </w:r>
            <w:r>
              <w:rPr>
                <w:rFonts w:hint="eastAsia"/>
                <w:color w:val="auto"/>
              </w:rPr>
              <w:t>通过无线方式作为同品牌监护仪的多参数模块</w:t>
            </w:r>
          </w:p>
          <w:p w14:paraId="183032B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color w:val="auto"/>
              </w:rPr>
            </w:pPr>
            <w:r>
              <w:rPr>
                <w:rFonts w:hint="default"/>
                <w:b w:val="0"/>
                <w:bCs/>
                <w:color w:val="auto"/>
                <w:szCs w:val="21"/>
                <w:lang w:val="en-US" w:eastAsia="zh-CN"/>
              </w:rPr>
              <w:t>3</w:t>
            </w:r>
            <w:r>
              <w:rPr>
                <w:rFonts w:hint="default"/>
                <w:b w:val="0"/>
                <w:bCs/>
                <w:color w:val="auto"/>
                <w:szCs w:val="21"/>
                <w:lang w:val="en-US" w:eastAsia="zh-CN"/>
              </w:rPr>
              <w:tab/>
            </w:r>
            <w:r>
              <w:rPr>
                <w:rFonts w:hint="eastAsia"/>
                <w:color w:val="auto"/>
              </w:rPr>
              <w:t>智能锂电池（自带电量指示器）供电，可支持至少8小时的持续监测。</w:t>
            </w:r>
          </w:p>
          <w:p w14:paraId="34A74A6F">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color w:val="auto"/>
              </w:rPr>
            </w:pPr>
            <w:r>
              <w:rPr>
                <w:rFonts w:hint="default"/>
                <w:b w:val="0"/>
                <w:bCs/>
                <w:color w:val="auto"/>
                <w:szCs w:val="21"/>
                <w:lang w:val="en-US" w:eastAsia="zh-CN"/>
              </w:rPr>
              <w:t>4</w:t>
            </w:r>
            <w:r>
              <w:rPr>
                <w:rFonts w:hint="default"/>
                <w:b w:val="0"/>
                <w:bCs/>
                <w:color w:val="auto"/>
                <w:szCs w:val="21"/>
                <w:lang w:val="en-US" w:eastAsia="zh-CN"/>
              </w:rPr>
              <w:tab/>
            </w:r>
            <w:r>
              <w:rPr>
                <w:rFonts w:hint="eastAsia"/>
                <w:color w:val="auto"/>
              </w:rPr>
              <w:t>可同时 提供3/5导心电，阻抗呼吸，血氧、无创血压，2通道体温</w:t>
            </w:r>
          </w:p>
          <w:p w14:paraId="760D2BAF">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color w:val="auto"/>
              </w:rPr>
            </w:pPr>
            <w:r>
              <w:rPr>
                <w:rFonts w:hint="default"/>
                <w:b w:val="0"/>
                <w:bCs/>
                <w:color w:val="auto"/>
                <w:szCs w:val="21"/>
                <w:lang w:val="en-US" w:eastAsia="zh-CN"/>
              </w:rPr>
              <w:t>5</w:t>
            </w:r>
            <w:r>
              <w:rPr>
                <w:rFonts w:hint="default"/>
                <w:b w:val="0"/>
                <w:bCs/>
                <w:color w:val="auto"/>
                <w:szCs w:val="21"/>
                <w:lang w:val="en-US" w:eastAsia="zh-CN"/>
              </w:rPr>
              <w:tab/>
            </w:r>
            <w:r>
              <w:rPr>
                <w:rFonts w:hint="eastAsia"/>
                <w:color w:val="auto"/>
              </w:rPr>
              <w:t>具有多导心电监护算法 ，同步分析至少2通道心电波形，能够良好抗干扰。用户可以更改分析导联。</w:t>
            </w:r>
          </w:p>
          <w:p w14:paraId="24A3085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color w:val="auto"/>
              </w:rPr>
            </w:pPr>
            <w:r>
              <w:rPr>
                <w:rFonts w:hint="default"/>
                <w:b w:val="0"/>
                <w:bCs/>
                <w:color w:val="auto"/>
                <w:szCs w:val="21"/>
                <w:lang w:val="en-US" w:eastAsia="zh-CN"/>
              </w:rPr>
              <w:t>6</w:t>
            </w:r>
            <w:r>
              <w:rPr>
                <w:rFonts w:hint="default"/>
                <w:b w:val="0"/>
                <w:bCs/>
                <w:color w:val="auto"/>
                <w:szCs w:val="21"/>
                <w:lang w:val="en-US" w:eastAsia="zh-CN"/>
              </w:rPr>
              <w:tab/>
            </w:r>
            <w:r>
              <w:rPr>
                <w:rFonts w:hint="eastAsia"/>
                <w:color w:val="auto"/>
              </w:rPr>
              <w:t>提供智能导联脱落功能，能够在第一道ECG波形相关的导联发生脱落，系统会自动切换到其他可用导联重新计算心率和分析心电波形数据可上传至</w:t>
            </w:r>
            <w:r>
              <w:rPr>
                <w:rFonts w:hint="eastAsia"/>
                <w:color w:val="auto"/>
                <w:lang w:val="en-US" w:eastAsia="zh-CN"/>
              </w:rPr>
              <w:t>床边</w:t>
            </w:r>
            <w:r>
              <w:rPr>
                <w:rFonts w:hint="eastAsia"/>
                <w:color w:val="auto"/>
              </w:rPr>
              <w:t>监护仪，方便病人转移</w:t>
            </w:r>
          </w:p>
          <w:p w14:paraId="1A422F94">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7</w:t>
            </w:r>
            <w:r>
              <w:rPr>
                <w:rFonts w:hint="default"/>
                <w:b w:val="0"/>
                <w:bCs/>
                <w:color w:val="auto"/>
                <w:szCs w:val="21"/>
                <w:lang w:val="en-US" w:eastAsia="zh-CN"/>
              </w:rPr>
              <w:tab/>
            </w:r>
            <w:r>
              <w:rPr>
                <w:rFonts w:hint="eastAsia"/>
                <w:color w:val="auto"/>
              </w:rPr>
              <w:t>可以掉电保存120小时的趋势数据，，实现病人信息的无缝转移</w:t>
            </w:r>
          </w:p>
          <w:p w14:paraId="05AE737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color w:val="auto"/>
              </w:rPr>
            </w:pPr>
            <w:r>
              <w:rPr>
                <w:rFonts w:hint="default"/>
                <w:b w:val="0"/>
                <w:bCs/>
                <w:color w:val="auto"/>
                <w:szCs w:val="21"/>
                <w:lang w:val="en-US" w:eastAsia="zh-CN"/>
              </w:rPr>
              <w:t>8</w:t>
            </w:r>
            <w:r>
              <w:rPr>
                <w:rFonts w:hint="default"/>
                <w:b w:val="0"/>
                <w:bCs/>
                <w:color w:val="auto"/>
                <w:szCs w:val="21"/>
                <w:lang w:val="en-US" w:eastAsia="zh-CN"/>
              </w:rPr>
              <w:tab/>
            </w:r>
            <w:r>
              <w:rPr>
                <w:rFonts w:hint="eastAsia"/>
                <w:color w:val="auto"/>
              </w:rPr>
              <w:t>血氧可显示弱灌注指数（PI）。</w:t>
            </w:r>
          </w:p>
          <w:p w14:paraId="4CBF7F5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9</w:t>
            </w:r>
            <w:r>
              <w:rPr>
                <w:rFonts w:hint="default"/>
                <w:b w:val="0"/>
                <w:bCs/>
                <w:color w:val="auto"/>
                <w:szCs w:val="21"/>
                <w:lang w:val="en-US" w:eastAsia="zh-CN"/>
              </w:rPr>
              <w:tab/>
            </w:r>
            <w:r>
              <w:rPr>
                <w:rFonts w:hint="eastAsia"/>
                <w:color w:val="auto"/>
              </w:rPr>
              <w:t>提供NIBP同侧功能。当SpO2和NIBP测量均位于病人同一侧手臂时，能够屏蔽由于袖带压迫血管导致弱灌注而触发不必要的血氧误报警。</w:t>
            </w:r>
          </w:p>
          <w:p w14:paraId="070C866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10</w:t>
            </w:r>
            <w:r>
              <w:rPr>
                <w:rFonts w:hint="default"/>
                <w:b w:val="0"/>
                <w:bCs/>
                <w:color w:val="auto"/>
                <w:szCs w:val="21"/>
                <w:lang w:val="en-US" w:eastAsia="zh-CN"/>
              </w:rPr>
              <w:tab/>
            </w:r>
            <w:r>
              <w:rPr>
                <w:rFonts w:hint="eastAsia"/>
                <w:color w:val="auto"/>
              </w:rPr>
              <w:t>NIBP提供手动、自动间隔 、连续、序列四种测量模式。</w:t>
            </w:r>
          </w:p>
          <w:p w14:paraId="2843196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11</w:t>
            </w:r>
            <w:r>
              <w:rPr>
                <w:rFonts w:hint="default"/>
                <w:b w:val="0"/>
                <w:bCs/>
                <w:color w:val="auto"/>
                <w:szCs w:val="21"/>
                <w:lang w:val="en-US" w:eastAsia="zh-CN"/>
              </w:rPr>
              <w:tab/>
            </w:r>
            <w:r>
              <w:rPr>
                <w:rFonts w:hint="eastAsia"/>
                <w:color w:val="auto"/>
              </w:rPr>
              <w:t>120小时 （分辨率1分钟）趋势表、趋势图回顾，4小时（分辨率5秒）趋势表、趋势图回顾。</w:t>
            </w:r>
          </w:p>
          <w:p w14:paraId="02F4023C">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12</w:t>
            </w:r>
            <w:r>
              <w:rPr>
                <w:rFonts w:hint="default"/>
                <w:b w:val="0"/>
                <w:bCs/>
                <w:color w:val="auto"/>
                <w:szCs w:val="21"/>
                <w:lang w:val="en-US" w:eastAsia="zh-CN"/>
              </w:rPr>
              <w:tab/>
            </w:r>
            <w:r>
              <w:rPr>
                <w:rFonts w:hint="eastAsia"/>
                <w:color w:val="auto"/>
              </w:rPr>
              <w:t>48小时全息波形回顾。</w:t>
            </w:r>
          </w:p>
          <w:p w14:paraId="006802E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color w:val="auto"/>
                <w:szCs w:val="21"/>
                <w:lang w:val="en-US" w:eastAsia="zh-CN"/>
              </w:rPr>
            </w:pPr>
            <w:r>
              <w:rPr>
                <w:rFonts w:hint="default"/>
                <w:b w:val="0"/>
                <w:bCs/>
                <w:color w:val="auto"/>
                <w:szCs w:val="21"/>
                <w:lang w:val="en-US" w:eastAsia="zh-CN"/>
              </w:rPr>
              <w:t>13</w:t>
            </w:r>
            <w:r>
              <w:rPr>
                <w:rFonts w:hint="default"/>
                <w:b w:val="0"/>
                <w:bCs/>
                <w:color w:val="auto"/>
                <w:szCs w:val="21"/>
                <w:lang w:val="en-US" w:eastAsia="zh-CN"/>
              </w:rPr>
              <w:tab/>
            </w:r>
            <w:r>
              <w:rPr>
                <w:rFonts w:hint="eastAsia"/>
                <w:b w:val="0"/>
                <w:bCs/>
                <w:color w:val="auto"/>
                <w:szCs w:val="21"/>
                <w:lang w:val="en-US" w:eastAsia="zh-CN"/>
              </w:rPr>
              <w:t>具备IBP有创压测量功能</w:t>
            </w:r>
          </w:p>
          <w:p w14:paraId="4BB82605">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szCs w:val="21"/>
                <w:lang w:val="en-US" w:eastAsia="zh-CN"/>
              </w:rPr>
            </w:pPr>
          </w:p>
        </w:tc>
      </w:tr>
      <w:tr w14:paraId="35DF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567" w:type="dxa"/>
            <w:vAlign w:val="top"/>
          </w:tcPr>
          <w:p w14:paraId="72F65CB7">
            <w:pPr>
              <w:rPr>
                <w:sz w:val="28"/>
                <w:szCs w:val="28"/>
              </w:rPr>
            </w:pPr>
            <w:r>
              <w:rPr>
                <w:rFonts w:hint="eastAsia"/>
                <w:sz w:val="28"/>
                <w:szCs w:val="28"/>
              </w:rPr>
              <w:t>二．配置要求</w:t>
            </w:r>
          </w:p>
        </w:tc>
      </w:tr>
      <w:tr w14:paraId="79221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567" w:type="dxa"/>
            <w:vAlign w:val="top"/>
          </w:tcPr>
          <w:p w14:paraId="371786B5">
            <w:pPr>
              <w:widowControl/>
              <w:numPr>
                <w:ilvl w:val="0"/>
                <w:numId w:val="0"/>
              </w:numPr>
              <w:wordWrap w:val="0"/>
              <w:spacing w:after="120" w:line="240" w:lineRule="auto"/>
              <w:rPr>
                <w:rFonts w:hint="default" w:ascii="仿宋" w:hAnsi="仿宋" w:eastAsia="仿宋" w:cs="Times New Roman"/>
                <w:bCs/>
                <w:color w:val="000000" w:themeColor="text1"/>
                <w:sz w:val="24"/>
                <w:szCs w:val="21"/>
                <w:lang w:val="en-US" w:eastAsia="zh-CN"/>
                <w14:textFill>
                  <w14:solidFill>
                    <w14:schemeClr w14:val="tx1"/>
                  </w14:solidFill>
                </w14:textFill>
              </w:rPr>
            </w:pPr>
            <w:r>
              <w:rPr>
                <w:rFonts w:hint="eastAsia" w:ascii="仿宋" w:hAnsi="仿宋" w:eastAsia="仿宋" w:cs="Times New Roman"/>
                <w:bCs/>
                <w:color w:val="000000" w:themeColor="text1"/>
                <w:sz w:val="24"/>
                <w:szCs w:val="21"/>
                <w:lang w:val="en-US" w:eastAsia="zh-CN"/>
                <w14:textFill>
                  <w14:solidFill>
                    <w14:schemeClr w14:val="tx1"/>
                  </w14:solidFill>
                </w14:textFill>
              </w:rPr>
              <w:t>1：监护一台</w:t>
            </w:r>
          </w:p>
          <w:p w14:paraId="7A062426">
            <w:pPr>
              <w:widowControl/>
              <w:numPr>
                <w:ilvl w:val="0"/>
                <w:numId w:val="0"/>
              </w:numPr>
              <w:wordWrap w:val="0"/>
              <w:spacing w:after="120" w:line="240" w:lineRule="auto"/>
              <w:rPr>
                <w:rFonts w:hint="default" w:ascii="仿宋" w:hAnsi="仿宋" w:eastAsia="仿宋" w:cs="Times New Roman"/>
                <w:bCs/>
                <w:color w:val="000000" w:themeColor="text1"/>
                <w:sz w:val="24"/>
                <w:szCs w:val="21"/>
                <w:lang w:val="en-US" w:eastAsia="zh-CN"/>
                <w14:textFill>
                  <w14:solidFill>
                    <w14:schemeClr w14:val="tx1"/>
                  </w14:solidFill>
                </w14:textFill>
              </w:rPr>
            </w:pPr>
            <w:r>
              <w:rPr>
                <w:rFonts w:hint="eastAsia" w:ascii="仿宋" w:hAnsi="仿宋" w:eastAsia="仿宋" w:cs="Times New Roman"/>
                <w:bCs/>
                <w:color w:val="000000" w:themeColor="text1"/>
                <w:sz w:val="24"/>
                <w:szCs w:val="21"/>
                <w:lang w:val="en-US" w:eastAsia="zh-CN"/>
                <w14:textFill>
                  <w14:solidFill>
                    <w14:schemeClr w14:val="tx1"/>
                  </w14:solidFill>
                </w14:textFill>
              </w:rPr>
              <w:t>2.功能</w:t>
            </w:r>
            <w:bookmarkStart w:id="0" w:name="_GoBack"/>
            <w:bookmarkEnd w:id="0"/>
            <w:r>
              <w:rPr>
                <w:rFonts w:hint="eastAsia" w:ascii="仿宋" w:hAnsi="仿宋" w:eastAsia="仿宋" w:cs="Times New Roman"/>
                <w:bCs/>
                <w:color w:val="000000" w:themeColor="text1"/>
                <w:sz w:val="24"/>
                <w:szCs w:val="21"/>
                <w:lang w:val="en-US" w:eastAsia="zh-CN"/>
                <w14:textFill>
                  <w14:solidFill>
                    <w14:schemeClr w14:val="tx1"/>
                  </w14:solidFill>
                </w14:textFill>
              </w:rPr>
              <w:t>附件</w:t>
            </w:r>
          </w:p>
        </w:tc>
      </w:tr>
      <w:tr w14:paraId="6841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567" w:type="dxa"/>
            <w:vAlign w:val="top"/>
          </w:tcPr>
          <w:p w14:paraId="04E2F8CA">
            <w:pPr>
              <w:rPr>
                <w:sz w:val="28"/>
                <w:szCs w:val="28"/>
              </w:rPr>
            </w:pPr>
            <w:r>
              <w:rPr>
                <w:rFonts w:hint="eastAsia"/>
                <w:sz w:val="28"/>
                <w:szCs w:val="28"/>
              </w:rPr>
              <w:t>三．质保期：≥</w:t>
            </w:r>
            <w:r>
              <w:rPr>
                <w:rFonts w:hint="eastAsia"/>
                <w:sz w:val="28"/>
                <w:szCs w:val="28"/>
                <w:lang w:val="en-US" w:eastAsia="zh-CN"/>
              </w:rPr>
              <w:t>3</w:t>
            </w:r>
            <w:r>
              <w:rPr>
                <w:rFonts w:hint="eastAsia"/>
                <w:sz w:val="28"/>
                <w:szCs w:val="28"/>
              </w:rPr>
              <w:t>年</w:t>
            </w:r>
          </w:p>
        </w:tc>
      </w:tr>
    </w:tbl>
    <w:p w14:paraId="77E93291">
      <w:pPr>
        <w:ind w:firstLine="3360" w:firstLineChars="16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MzI4YTY4YzMzMzM3MDY2YmExZWExNjc3ZjlkODgifQ=="/>
  </w:docVars>
  <w:rsids>
    <w:rsidRoot w:val="4F37236C"/>
    <w:rsid w:val="053718C6"/>
    <w:rsid w:val="0695220D"/>
    <w:rsid w:val="0C8C5E91"/>
    <w:rsid w:val="0D090345"/>
    <w:rsid w:val="111E393A"/>
    <w:rsid w:val="14200E35"/>
    <w:rsid w:val="16095DBC"/>
    <w:rsid w:val="16111DF3"/>
    <w:rsid w:val="1A4923BF"/>
    <w:rsid w:val="1B3D0055"/>
    <w:rsid w:val="1BDA5F6F"/>
    <w:rsid w:val="26F50917"/>
    <w:rsid w:val="2BAA5A09"/>
    <w:rsid w:val="2C02229A"/>
    <w:rsid w:val="2CA847F7"/>
    <w:rsid w:val="2D940755"/>
    <w:rsid w:val="2F505D4A"/>
    <w:rsid w:val="30BE17B4"/>
    <w:rsid w:val="31694FFC"/>
    <w:rsid w:val="32C2026C"/>
    <w:rsid w:val="345834F7"/>
    <w:rsid w:val="37A86901"/>
    <w:rsid w:val="3AC71E3F"/>
    <w:rsid w:val="3B7A6F64"/>
    <w:rsid w:val="3C0F2FB7"/>
    <w:rsid w:val="3C361C3E"/>
    <w:rsid w:val="3C751717"/>
    <w:rsid w:val="432F28ED"/>
    <w:rsid w:val="4CA508E5"/>
    <w:rsid w:val="4EE42176"/>
    <w:rsid w:val="4F37236C"/>
    <w:rsid w:val="53B01AC5"/>
    <w:rsid w:val="587837A7"/>
    <w:rsid w:val="5BA75845"/>
    <w:rsid w:val="5CE33B43"/>
    <w:rsid w:val="5CEE22BA"/>
    <w:rsid w:val="5FDB1BD4"/>
    <w:rsid w:val="6D0C1EF4"/>
    <w:rsid w:val="786F1A11"/>
    <w:rsid w:val="793479D8"/>
    <w:rsid w:val="7B5D38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basedOn w:val="3"/>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22"/>
    <w:rPr>
      <w:b/>
      <w:bCs/>
    </w:rPr>
  </w:style>
  <w:style w:type="paragraph" w:styleId="7">
    <w:name w:val="List Paragraph"/>
    <w:basedOn w:val="1"/>
    <w:autoRedefine/>
    <w:qFormat/>
    <w:uiPriority w:val="34"/>
    <w:pPr>
      <w:ind w:firstLine="420" w:firstLineChars="200"/>
    </w:pPr>
    <w:rPr>
      <w:rFonts w:ascii="Calibri" w:hAnsi="Calibri" w:eastAsia="宋体" w:cs="Times New Roman"/>
    </w:rPr>
  </w:style>
  <w:style w:type="paragraph" w:customStyle="1" w:styleId="8">
    <w:name w:val="列出段落3"/>
    <w:basedOn w:val="1"/>
    <w:autoRedefine/>
    <w:qFormat/>
    <w:uiPriority w:val="0"/>
    <w:pPr>
      <w:ind w:firstLine="420" w:firstLineChars="200"/>
    </w:pPr>
    <w:rPr>
      <w:rFonts w:ascii="Calibri" w:hAnsi="Calibri" w:cs="黑体"/>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473</Words>
  <Characters>506</Characters>
  <Lines>0</Lines>
  <Paragraphs>0</Paragraphs>
  <TotalTime>0</TotalTime>
  <ScaleCrop>false</ScaleCrop>
  <LinksUpToDate>false</LinksUpToDate>
  <CharactersWithSpaces>537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2020-08-31T00:34:00Z</dcterms:created>
  <dc:creator>雪小薇</dc:creator>
  <cp:lastModifiedBy>rabbit</cp:lastModifiedBy>
  <cp:lastPrinted>2026-05-12T01:08:00Z</cp:lastPrinted>
  <dcterms:modified xsi:type="dcterms:W3CDTF">2026-07-14T02:43:49Z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F307040BAF284559829F42CA3BF2CD41_13</vt:lpwstr>
  </property>
  <property fmtid="{D5CDD505-2E9C-101B-9397-08002B2CF9AE}" pid="4" name="KSOTemplateDocerSaveRecord">
    <vt:lpwstr>eyJoZGlkIjoiMjM3YzJmYmQ2ZDZiODZhNDhlYjY5NTgxNDg0NWYzOTIiLCJ1c2VySWQiOiIxMjM5NjgwOTMyIn0=</vt:lpwstr>
  </property>
</Properties>
</file>