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B2C67">
      <w:pPr>
        <w:jc w:val="center"/>
        <w:rPr>
          <w:rFonts w:hint="eastAsia" w:asciiTheme="minorEastAsia" w:hAnsiTheme="minorEastAsia" w:eastAsiaTheme="minorEastAsia" w:cstheme="minorEastAsia"/>
          <w:b/>
          <w:bCs/>
          <w:color w:val="auto"/>
          <w:sz w:val="52"/>
          <w:highlight w:val="none"/>
        </w:rPr>
      </w:pPr>
    </w:p>
    <w:p w14:paraId="22DF4F9C">
      <w:pPr>
        <w:jc w:val="center"/>
        <w:outlineLvl w:val="0"/>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lang w:eastAsia="zh-CN"/>
        </w:rPr>
        <w:t>义乌市苏溪镇中心卫生院</w:t>
      </w:r>
      <w:r>
        <w:rPr>
          <w:rFonts w:hint="eastAsia" w:asciiTheme="minorEastAsia" w:hAnsiTheme="minorEastAsia" w:eastAsiaTheme="minorEastAsia" w:cstheme="minorEastAsia"/>
          <w:b/>
          <w:bCs/>
          <w:color w:val="auto"/>
          <w:sz w:val="48"/>
          <w:highlight w:val="none"/>
        </w:rPr>
        <w:t>中药配方颗粒采购</w:t>
      </w:r>
    </w:p>
    <w:p w14:paraId="52EB269C">
      <w:pPr>
        <w:tabs>
          <w:tab w:val="center" w:pos="4677"/>
          <w:tab w:val="left" w:pos="7365"/>
        </w:tabs>
        <w:jc w:val="center"/>
        <w:rPr>
          <w:rFonts w:hint="eastAsia" w:asciiTheme="minorEastAsia" w:hAnsiTheme="minorEastAsia" w:eastAsiaTheme="minorEastAsia" w:cstheme="minorEastAsia"/>
          <w:b/>
          <w:bCs/>
          <w:color w:val="auto"/>
          <w:sz w:val="36"/>
          <w:szCs w:val="36"/>
          <w:highlight w:val="none"/>
        </w:rPr>
      </w:pPr>
    </w:p>
    <w:p w14:paraId="771C958D">
      <w:pPr>
        <w:tabs>
          <w:tab w:val="center" w:pos="4677"/>
          <w:tab w:val="left" w:pos="7365"/>
        </w:tabs>
        <w:jc w:val="center"/>
        <w:rPr>
          <w:rFonts w:hint="eastAsia" w:asciiTheme="minorEastAsia" w:hAnsiTheme="minorEastAsia" w:eastAsiaTheme="minorEastAsia" w:cstheme="minorEastAsia"/>
          <w:b/>
          <w:bCs/>
          <w:color w:val="auto"/>
          <w:sz w:val="36"/>
          <w:szCs w:val="36"/>
          <w:highlight w:val="none"/>
        </w:rPr>
      </w:pPr>
    </w:p>
    <w:p w14:paraId="0F0C9DB7">
      <w:pPr>
        <w:tabs>
          <w:tab w:val="center" w:pos="4677"/>
          <w:tab w:val="left" w:pos="7365"/>
        </w:tabs>
        <w:jc w:val="center"/>
        <w:rPr>
          <w:rFonts w:hint="eastAsia" w:asciiTheme="minorEastAsia" w:hAnsiTheme="minorEastAsia" w:eastAsiaTheme="minorEastAsia" w:cstheme="minorEastAsia"/>
          <w:color w:val="auto"/>
          <w:sz w:val="52"/>
          <w:highlight w:val="none"/>
        </w:rPr>
      </w:pPr>
      <w:r>
        <w:rPr>
          <w:rFonts w:hint="eastAsia" w:asciiTheme="minorEastAsia" w:hAnsiTheme="minorEastAsia" w:eastAsiaTheme="minorEastAsia" w:cstheme="minorEastAsia"/>
          <w:b/>
          <w:bCs/>
          <w:color w:val="auto"/>
          <w:sz w:val="72"/>
          <w:highlight w:val="none"/>
        </w:rPr>
        <w:t>招标文件</w:t>
      </w:r>
    </w:p>
    <w:p w14:paraId="627D7B99">
      <w:pPr>
        <w:jc w:val="center"/>
        <w:rPr>
          <w:rFonts w:hint="eastAsia" w:asciiTheme="minorEastAsia" w:hAnsiTheme="minorEastAsia" w:eastAsiaTheme="minorEastAsia" w:cstheme="minorEastAsia"/>
          <w:b/>
          <w:bCs/>
          <w:color w:val="auto"/>
          <w:sz w:val="32"/>
          <w:highlight w:val="none"/>
        </w:rPr>
      </w:pPr>
    </w:p>
    <w:p w14:paraId="34C57F7C">
      <w:pPr>
        <w:jc w:val="center"/>
        <w:rPr>
          <w:rFonts w:hint="eastAsia" w:asciiTheme="minorEastAsia" w:hAnsiTheme="minorEastAsia" w:eastAsiaTheme="minorEastAsia" w:cstheme="minorEastAsia"/>
          <w:b/>
          <w:bCs/>
          <w:color w:val="auto"/>
          <w:sz w:val="32"/>
          <w:highlight w:val="none"/>
          <w:u w:val="single"/>
          <w:lang w:eastAsia="zh-CN"/>
        </w:rPr>
      </w:pPr>
      <w:r>
        <w:rPr>
          <w:rFonts w:hint="eastAsia" w:asciiTheme="minorEastAsia" w:hAnsiTheme="minorEastAsia" w:eastAsiaTheme="minorEastAsia" w:cstheme="minorEastAsia"/>
          <w:b/>
          <w:bCs/>
          <w:color w:val="auto"/>
          <w:sz w:val="32"/>
          <w:highlight w:val="none"/>
        </w:rPr>
        <w:t>采购编号：</w:t>
      </w:r>
      <w:r>
        <w:rPr>
          <w:rFonts w:hint="eastAsia" w:asciiTheme="minorEastAsia" w:hAnsiTheme="minorEastAsia" w:eastAsiaTheme="minorEastAsia" w:cstheme="minorEastAsia"/>
          <w:b/>
          <w:bCs/>
          <w:color w:val="auto"/>
          <w:sz w:val="32"/>
          <w:highlight w:val="none"/>
          <w:lang w:eastAsia="zh-CN"/>
        </w:rPr>
        <w:t>ZJKP2026YW117G</w:t>
      </w:r>
    </w:p>
    <w:p w14:paraId="21838709">
      <w:pPr>
        <w:jc w:val="center"/>
        <w:rPr>
          <w:rFonts w:hint="eastAsia" w:asciiTheme="minorEastAsia" w:hAnsiTheme="minorEastAsia" w:eastAsiaTheme="minorEastAsia" w:cstheme="minorEastAsia"/>
          <w:b/>
          <w:bCs/>
          <w:color w:val="auto"/>
          <w:sz w:val="32"/>
          <w:highlight w:val="none"/>
        </w:rPr>
      </w:pPr>
    </w:p>
    <w:p w14:paraId="31302B19">
      <w:pPr>
        <w:jc w:val="center"/>
        <w:rPr>
          <w:rFonts w:hint="eastAsia" w:asciiTheme="minorEastAsia" w:hAnsiTheme="minorEastAsia" w:eastAsiaTheme="minorEastAsia" w:cstheme="minorEastAsia"/>
          <w:b/>
          <w:bCs/>
          <w:color w:val="auto"/>
          <w:sz w:val="36"/>
          <w:highlight w:val="none"/>
        </w:rPr>
      </w:pPr>
    </w:p>
    <w:p w14:paraId="2B7A032C">
      <w:pPr>
        <w:jc w:val="center"/>
        <w:rPr>
          <w:rFonts w:hint="eastAsia" w:asciiTheme="minorEastAsia" w:hAnsiTheme="minorEastAsia" w:eastAsiaTheme="minorEastAsia" w:cstheme="minorEastAsia"/>
          <w:b/>
          <w:bCs/>
          <w:color w:val="auto"/>
          <w:sz w:val="36"/>
          <w:highlight w:val="none"/>
        </w:rPr>
      </w:pPr>
    </w:p>
    <w:p w14:paraId="4D384E3D">
      <w:pPr>
        <w:jc w:val="center"/>
        <w:rPr>
          <w:rFonts w:hint="eastAsia" w:asciiTheme="minorEastAsia" w:hAnsiTheme="minorEastAsia" w:eastAsiaTheme="minorEastAsia" w:cstheme="minorEastAsia"/>
          <w:b/>
          <w:bCs/>
          <w:color w:val="auto"/>
          <w:sz w:val="36"/>
          <w:highlight w:val="none"/>
        </w:rPr>
      </w:pPr>
    </w:p>
    <w:p w14:paraId="132BB8EF">
      <w:pPr>
        <w:jc w:val="center"/>
        <w:rPr>
          <w:rFonts w:hint="eastAsia" w:asciiTheme="minorEastAsia" w:hAnsiTheme="minorEastAsia" w:eastAsiaTheme="minorEastAsia" w:cstheme="minorEastAsia"/>
          <w:b/>
          <w:bCs/>
          <w:color w:val="auto"/>
          <w:sz w:val="36"/>
          <w:highlight w:val="none"/>
        </w:rPr>
      </w:pPr>
    </w:p>
    <w:p w14:paraId="4841F6A6">
      <w:pPr>
        <w:jc w:val="center"/>
        <w:rPr>
          <w:rFonts w:hint="eastAsia" w:asciiTheme="minorEastAsia" w:hAnsiTheme="minorEastAsia" w:eastAsiaTheme="minorEastAsia" w:cstheme="minorEastAsia"/>
          <w:b/>
          <w:bCs/>
          <w:color w:val="auto"/>
          <w:sz w:val="36"/>
          <w:highlight w:val="none"/>
        </w:rPr>
      </w:pPr>
    </w:p>
    <w:p w14:paraId="68104A63">
      <w:pPr>
        <w:jc w:val="center"/>
        <w:rPr>
          <w:rFonts w:hint="eastAsia" w:asciiTheme="minorEastAsia" w:hAnsiTheme="minorEastAsia" w:eastAsiaTheme="minorEastAsia" w:cstheme="minorEastAsia"/>
          <w:b/>
          <w:bCs/>
          <w:color w:val="auto"/>
          <w:sz w:val="36"/>
          <w:highlight w:val="none"/>
        </w:rPr>
      </w:pPr>
    </w:p>
    <w:p w14:paraId="1E599C1B">
      <w:pPr>
        <w:rPr>
          <w:rFonts w:hint="eastAsia" w:asciiTheme="minorEastAsia" w:hAnsiTheme="minorEastAsia" w:eastAsiaTheme="minorEastAsia" w:cstheme="minorEastAsia"/>
          <w:b/>
          <w:bCs/>
          <w:color w:val="auto"/>
          <w:sz w:val="36"/>
          <w:highlight w:val="none"/>
        </w:rPr>
      </w:pPr>
    </w:p>
    <w:p w14:paraId="0E2F8376">
      <w:pPr>
        <w:jc w:val="center"/>
        <w:rPr>
          <w:rFonts w:hint="eastAsia" w:asciiTheme="minorEastAsia" w:hAnsiTheme="minorEastAsia" w:eastAsiaTheme="minorEastAsia" w:cstheme="minorEastAsia"/>
          <w:b/>
          <w:color w:val="auto"/>
          <w:sz w:val="36"/>
          <w:szCs w:val="36"/>
          <w:highlight w:val="none"/>
          <w:lang w:eastAsia="zh-CN"/>
        </w:rPr>
      </w:pPr>
      <w:bookmarkStart w:id="0" w:name="OLE_LINK2"/>
      <w:bookmarkStart w:id="1" w:name="OLE_LINK1"/>
      <w:r>
        <w:rPr>
          <w:rFonts w:hint="eastAsia" w:asciiTheme="minorEastAsia" w:hAnsiTheme="minorEastAsia" w:eastAsiaTheme="minorEastAsia" w:cstheme="minorEastAsia"/>
          <w:b/>
          <w:color w:val="auto"/>
          <w:sz w:val="36"/>
          <w:szCs w:val="36"/>
          <w:highlight w:val="none"/>
          <w:lang w:eastAsia="zh-CN"/>
        </w:rPr>
        <w:t>义乌市苏溪镇中心卫生院</w:t>
      </w:r>
    </w:p>
    <w:p w14:paraId="5F5F26DF">
      <w:pPr>
        <w:jc w:val="center"/>
        <w:rPr>
          <w:rFonts w:hint="eastAsia" w:asciiTheme="minorEastAsia" w:hAnsiTheme="minorEastAsia" w:eastAsiaTheme="minorEastAsia" w:cstheme="minorEastAsia"/>
          <w:b/>
          <w:bCs/>
          <w:color w:val="auto"/>
          <w:sz w:val="36"/>
          <w:highlight w:val="none"/>
        </w:rPr>
      </w:pPr>
      <w:r>
        <w:rPr>
          <w:rFonts w:hint="eastAsia" w:asciiTheme="minorEastAsia" w:hAnsiTheme="minorEastAsia" w:eastAsiaTheme="minorEastAsia" w:cstheme="minorEastAsia"/>
          <w:b/>
          <w:bCs/>
          <w:color w:val="auto"/>
          <w:sz w:val="36"/>
          <w:highlight w:val="none"/>
        </w:rPr>
        <w:t>浙江开平企业管理咨询有限公司</w:t>
      </w:r>
      <w:bookmarkEnd w:id="0"/>
      <w:bookmarkEnd w:id="1"/>
    </w:p>
    <w:p w14:paraId="1CD29661">
      <w:pPr>
        <w:jc w:val="center"/>
        <w:rPr>
          <w:rFonts w:hint="eastAsia" w:asciiTheme="minorEastAsia" w:hAnsiTheme="minorEastAsia" w:eastAsiaTheme="minorEastAsia" w:cstheme="minorEastAsia"/>
          <w:b/>
          <w:color w:val="auto"/>
          <w:sz w:val="36"/>
          <w:highlight w:val="none"/>
        </w:rPr>
        <w:sectPr>
          <w:headerReference r:id="rId4" w:type="first"/>
          <w:headerReference r:id="rId3" w:type="default"/>
          <w:pgSz w:w="11906" w:h="16838"/>
          <w:pgMar w:top="1134" w:right="1134" w:bottom="1134" w:left="1418" w:header="851" w:footer="851" w:gutter="0"/>
          <w:pgNumType w:start="1"/>
          <w:cols w:space="720" w:num="1"/>
          <w:docGrid w:type="lines" w:linePitch="312" w:charSpace="0"/>
        </w:sectPr>
      </w:pPr>
      <w:r>
        <w:rPr>
          <w:rFonts w:hint="eastAsia" w:asciiTheme="minorEastAsia" w:hAnsiTheme="minorEastAsia" w:eastAsiaTheme="minorEastAsia" w:cstheme="minorEastAsia"/>
          <w:b/>
          <w:bCs/>
          <w:color w:val="auto"/>
          <w:sz w:val="36"/>
          <w:highlight w:val="none"/>
        </w:rPr>
        <w:t>二〇二</w:t>
      </w:r>
      <w:r>
        <w:rPr>
          <w:rFonts w:hint="eastAsia" w:asciiTheme="minorEastAsia" w:hAnsiTheme="minorEastAsia" w:eastAsiaTheme="minorEastAsia" w:cstheme="minorEastAsia"/>
          <w:b/>
          <w:bCs/>
          <w:color w:val="auto"/>
          <w:sz w:val="36"/>
          <w:highlight w:val="none"/>
          <w:lang w:eastAsia="zh-CN"/>
        </w:rPr>
        <w:t>六</w:t>
      </w:r>
      <w:r>
        <w:rPr>
          <w:rFonts w:hint="eastAsia" w:asciiTheme="minorEastAsia" w:hAnsiTheme="minorEastAsia" w:eastAsiaTheme="minorEastAsia" w:cstheme="minorEastAsia"/>
          <w:b/>
          <w:bCs/>
          <w:color w:val="auto"/>
          <w:sz w:val="36"/>
          <w:highlight w:val="none"/>
        </w:rPr>
        <w:t>年</w:t>
      </w:r>
      <w:r>
        <w:rPr>
          <w:rFonts w:hint="eastAsia" w:asciiTheme="minorEastAsia" w:hAnsiTheme="minorEastAsia" w:eastAsiaTheme="minorEastAsia" w:cstheme="minorEastAsia"/>
          <w:b/>
          <w:bCs/>
          <w:color w:val="auto"/>
          <w:sz w:val="36"/>
          <w:highlight w:val="none"/>
          <w:lang w:eastAsia="zh-CN"/>
        </w:rPr>
        <w:t>七</w:t>
      </w:r>
      <w:r>
        <w:rPr>
          <w:rFonts w:hint="eastAsia" w:asciiTheme="minorEastAsia" w:hAnsiTheme="minorEastAsia" w:eastAsiaTheme="minorEastAsia" w:cstheme="minorEastAsia"/>
          <w:b/>
          <w:bCs/>
          <w:color w:val="auto"/>
          <w:sz w:val="36"/>
          <w:highlight w:val="none"/>
        </w:rPr>
        <w:t>月</w:t>
      </w:r>
    </w:p>
    <w:p w14:paraId="40FAF515">
      <w:pPr>
        <w:pStyle w:val="13"/>
        <w:spacing w:before="120" w:after="120" w:line="360" w:lineRule="auto"/>
        <w:ind w:firstLine="880" w:firstLineChars="200"/>
        <w:jc w:val="center"/>
        <w:outlineLvl w:val="0"/>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招标文件目录</w:t>
      </w:r>
    </w:p>
    <w:p w14:paraId="6668BB43">
      <w:pPr>
        <w:pStyle w:val="19"/>
        <w:rPr>
          <w:rFonts w:hint="eastAsia" w:asciiTheme="minorEastAsia" w:hAnsiTheme="minorEastAsia" w:eastAsiaTheme="minorEastAsia" w:cstheme="minorEastAsia"/>
          <w:b/>
          <w:color w:val="auto"/>
          <w:highlight w:val="none"/>
        </w:rPr>
      </w:pPr>
    </w:p>
    <w:p w14:paraId="7AB38A7A">
      <w:pPr>
        <w:pStyle w:val="19"/>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TOC \o "1-3" \h \z \u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"_Toc362250684"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highlight w:val="none"/>
        </w:rPr>
        <w:t>第一章　采购公告</w:t>
      </w:r>
      <w:r>
        <w:rPr>
          <w:rStyle w:val="33"/>
          <w:rFonts w:hint="eastAsia" w:asciiTheme="minorEastAsia" w:hAnsiTheme="minorEastAsia" w:eastAsiaTheme="minorEastAsia" w:cstheme="minorEastAsia"/>
          <w:color w:val="auto"/>
          <w:highlight w:val="none"/>
        </w:rPr>
        <w:fldChar w:fldCharType="end"/>
      </w:r>
    </w:p>
    <w:p w14:paraId="40CBE038">
      <w:pPr>
        <w:pStyle w:val="19"/>
        <w:rPr>
          <w:rStyle w:val="33"/>
          <w:rFonts w:hint="eastAsia" w:asciiTheme="minorEastAsia" w:hAnsiTheme="minorEastAsia" w:eastAsiaTheme="minorEastAsia" w:cstheme="minorEastAsia"/>
          <w:color w:val="auto"/>
          <w:highlight w:val="none"/>
        </w:rPr>
      </w:pPr>
    </w:p>
    <w:p w14:paraId="3C01AC79">
      <w:pPr>
        <w:pStyle w:val="19"/>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"_Toc362250685"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highlight w:val="none"/>
        </w:rPr>
        <w:t>第二章　投标须知和投标须知前附表</w:t>
      </w:r>
      <w:r>
        <w:rPr>
          <w:rStyle w:val="33"/>
          <w:rFonts w:hint="eastAsia" w:asciiTheme="minorEastAsia" w:hAnsiTheme="minorEastAsia" w:eastAsiaTheme="minorEastAsia" w:cstheme="minorEastAsia"/>
          <w:color w:val="auto"/>
          <w:highlight w:val="none"/>
        </w:rPr>
        <w:fldChar w:fldCharType="end"/>
      </w:r>
    </w:p>
    <w:p w14:paraId="72586046">
      <w:pPr>
        <w:pStyle w:val="19"/>
        <w:rPr>
          <w:rStyle w:val="33"/>
          <w:rFonts w:hint="eastAsia" w:asciiTheme="minorEastAsia" w:hAnsiTheme="minorEastAsia" w:eastAsiaTheme="minorEastAsia" w:cstheme="minorEastAsia"/>
          <w:color w:val="auto"/>
          <w:highlight w:val="none"/>
        </w:rPr>
      </w:pPr>
    </w:p>
    <w:p w14:paraId="43D285E2">
      <w:pPr>
        <w:pStyle w:val="19"/>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"_Toc362250692"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highlight w:val="none"/>
        </w:rPr>
        <w:t>第三章  招标项目内容及要求</w:t>
      </w:r>
      <w:r>
        <w:rPr>
          <w:rStyle w:val="33"/>
          <w:rFonts w:hint="eastAsia" w:asciiTheme="minorEastAsia" w:hAnsiTheme="minorEastAsia" w:eastAsiaTheme="minorEastAsia" w:cstheme="minorEastAsia"/>
          <w:color w:val="auto"/>
          <w:highlight w:val="none"/>
        </w:rPr>
        <w:fldChar w:fldCharType="end"/>
      </w:r>
    </w:p>
    <w:p w14:paraId="3728BDBA">
      <w:pPr>
        <w:pStyle w:val="19"/>
        <w:tabs>
          <w:tab w:val="left" w:pos="1260"/>
        </w:tabs>
        <w:rPr>
          <w:rStyle w:val="33"/>
          <w:rFonts w:hint="eastAsia" w:asciiTheme="minorEastAsia" w:hAnsiTheme="minorEastAsia" w:eastAsiaTheme="minorEastAsia" w:cstheme="minorEastAsia"/>
          <w:color w:val="auto"/>
          <w:highlight w:val="none"/>
        </w:rPr>
      </w:pPr>
    </w:p>
    <w:p w14:paraId="340713A4">
      <w:pPr>
        <w:pStyle w:val="19"/>
        <w:tabs>
          <w:tab w:val="left" w:pos="1020"/>
        </w:tabs>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"_Toc362250703"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highlight w:val="none"/>
        </w:rPr>
        <w:t>第四章  开标、评标和定标须知</w:t>
      </w:r>
      <w:r>
        <w:rPr>
          <w:rStyle w:val="33"/>
          <w:rFonts w:hint="eastAsia" w:asciiTheme="minorEastAsia" w:hAnsiTheme="minorEastAsia" w:eastAsiaTheme="minorEastAsia" w:cstheme="minorEastAsia"/>
          <w:color w:val="auto"/>
          <w:highlight w:val="none"/>
        </w:rPr>
        <w:fldChar w:fldCharType="end"/>
      </w:r>
    </w:p>
    <w:p w14:paraId="0B4AA537">
      <w:pPr>
        <w:pStyle w:val="19"/>
        <w:rPr>
          <w:rStyle w:val="33"/>
          <w:rFonts w:hint="eastAsia" w:asciiTheme="minorEastAsia" w:hAnsiTheme="minorEastAsia" w:eastAsiaTheme="minorEastAsia" w:cstheme="minorEastAsia"/>
          <w:color w:val="auto"/>
          <w:highlight w:val="none"/>
        </w:rPr>
      </w:pPr>
    </w:p>
    <w:p w14:paraId="331C8068">
      <w:pPr>
        <w:pStyle w:val="19"/>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"_Toc362250707"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highlight w:val="none"/>
        </w:rPr>
        <w:t>第五章  投标文件的有效性</w:t>
      </w:r>
      <w:r>
        <w:rPr>
          <w:rStyle w:val="33"/>
          <w:rFonts w:hint="eastAsia" w:asciiTheme="minorEastAsia" w:hAnsiTheme="minorEastAsia" w:eastAsiaTheme="minorEastAsia" w:cstheme="minorEastAsia"/>
          <w:color w:val="auto"/>
          <w:highlight w:val="none"/>
        </w:rPr>
        <w:fldChar w:fldCharType="end"/>
      </w:r>
    </w:p>
    <w:p w14:paraId="00C7AA4C">
      <w:pPr>
        <w:pStyle w:val="19"/>
        <w:rPr>
          <w:rStyle w:val="33"/>
          <w:rFonts w:hint="eastAsia" w:asciiTheme="minorEastAsia" w:hAnsiTheme="minorEastAsia" w:eastAsiaTheme="minorEastAsia" w:cstheme="minorEastAsia"/>
          <w:color w:val="auto"/>
          <w:highlight w:val="none"/>
        </w:rPr>
      </w:pPr>
    </w:p>
    <w:p w14:paraId="03AE35EC">
      <w:pPr>
        <w:pStyle w:val="19"/>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"_Toc362250708"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highlight w:val="none"/>
        </w:rPr>
        <w:t>第六章  评标办法</w:t>
      </w:r>
      <w:r>
        <w:rPr>
          <w:rStyle w:val="33"/>
          <w:rFonts w:hint="eastAsia" w:asciiTheme="minorEastAsia" w:hAnsiTheme="minorEastAsia" w:eastAsiaTheme="minorEastAsia" w:cstheme="minorEastAsia"/>
          <w:color w:val="auto"/>
          <w:highlight w:val="none"/>
        </w:rPr>
        <w:fldChar w:fldCharType="end"/>
      </w:r>
    </w:p>
    <w:p w14:paraId="040099E5">
      <w:pPr>
        <w:pStyle w:val="19"/>
        <w:rPr>
          <w:rStyle w:val="33"/>
          <w:rFonts w:hint="eastAsia" w:asciiTheme="minorEastAsia" w:hAnsiTheme="minorEastAsia" w:eastAsiaTheme="minorEastAsia" w:cstheme="minorEastAsia"/>
          <w:color w:val="auto"/>
          <w:highlight w:val="none"/>
        </w:rPr>
      </w:pPr>
    </w:p>
    <w:p w14:paraId="12798461">
      <w:pPr>
        <w:pStyle w:val="19"/>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"_Toc362250711"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highlight w:val="none"/>
        </w:rPr>
        <w:t>第七章  合同主要条款</w:t>
      </w:r>
      <w:r>
        <w:rPr>
          <w:rStyle w:val="33"/>
          <w:rFonts w:hint="eastAsia" w:asciiTheme="minorEastAsia" w:hAnsiTheme="minorEastAsia" w:eastAsiaTheme="minorEastAsia" w:cstheme="minorEastAsia"/>
          <w:color w:val="auto"/>
          <w:highlight w:val="none"/>
        </w:rPr>
        <w:fldChar w:fldCharType="end"/>
      </w:r>
    </w:p>
    <w:p w14:paraId="56C3C0BE">
      <w:pPr>
        <w:pStyle w:val="19"/>
        <w:rPr>
          <w:rStyle w:val="33"/>
          <w:rFonts w:hint="eastAsia" w:asciiTheme="minorEastAsia" w:hAnsiTheme="minorEastAsia" w:eastAsiaTheme="minorEastAsia" w:cstheme="minorEastAsia"/>
          <w:color w:val="auto"/>
          <w:highlight w:val="none"/>
        </w:rPr>
      </w:pPr>
    </w:p>
    <w:p w14:paraId="5B513EEC">
      <w:pPr>
        <w:pStyle w:val="19"/>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"_Toc362250712"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highlight w:val="none"/>
        </w:rPr>
        <w:t>第八章  投标文件部分格式</w:t>
      </w:r>
      <w:r>
        <w:rPr>
          <w:rStyle w:val="33"/>
          <w:rFonts w:hint="eastAsia" w:asciiTheme="minorEastAsia" w:hAnsiTheme="minorEastAsia" w:eastAsiaTheme="minorEastAsia" w:cstheme="minorEastAsia"/>
          <w:color w:val="auto"/>
          <w:highlight w:val="none"/>
        </w:rPr>
        <w:fldChar w:fldCharType="end"/>
      </w:r>
    </w:p>
    <w:p w14:paraId="4C24154E">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30"/>
          <w:highlight w:val="none"/>
        </w:rPr>
        <w:fldChar w:fldCharType="end"/>
      </w:r>
    </w:p>
    <w:p w14:paraId="66AE593C">
      <w:pPr>
        <w:rPr>
          <w:rFonts w:hint="eastAsia" w:asciiTheme="minorEastAsia" w:hAnsiTheme="minorEastAsia" w:eastAsiaTheme="minorEastAsia" w:cstheme="minorEastAsia"/>
          <w:color w:val="auto"/>
          <w:highlight w:val="none"/>
        </w:rPr>
      </w:pPr>
    </w:p>
    <w:p w14:paraId="60CB3170">
      <w:pPr>
        <w:rPr>
          <w:rFonts w:hint="eastAsia" w:asciiTheme="minorEastAsia" w:hAnsiTheme="minorEastAsia" w:eastAsiaTheme="minorEastAsia" w:cstheme="minorEastAsia"/>
          <w:color w:val="auto"/>
          <w:highlight w:val="none"/>
        </w:rPr>
      </w:pPr>
    </w:p>
    <w:p w14:paraId="26D34E35">
      <w:pPr>
        <w:rPr>
          <w:rFonts w:hint="eastAsia" w:asciiTheme="minorEastAsia" w:hAnsiTheme="minorEastAsia" w:eastAsiaTheme="minorEastAsia" w:cstheme="minorEastAsia"/>
          <w:color w:val="auto"/>
          <w:highlight w:val="none"/>
        </w:rPr>
      </w:pPr>
    </w:p>
    <w:p w14:paraId="6767B52C">
      <w:pPr>
        <w:rPr>
          <w:rFonts w:hint="eastAsia" w:asciiTheme="minorEastAsia" w:hAnsiTheme="minorEastAsia" w:eastAsiaTheme="minorEastAsia" w:cstheme="minorEastAsia"/>
          <w:color w:val="auto"/>
          <w:highlight w:val="none"/>
        </w:rPr>
      </w:pPr>
    </w:p>
    <w:p w14:paraId="2BF537DF">
      <w:pPr>
        <w:rPr>
          <w:rFonts w:hint="eastAsia" w:asciiTheme="minorEastAsia" w:hAnsiTheme="minorEastAsia" w:eastAsiaTheme="minorEastAsia" w:cstheme="minorEastAsia"/>
          <w:color w:val="auto"/>
          <w:highlight w:val="none"/>
        </w:rPr>
      </w:pPr>
    </w:p>
    <w:p w14:paraId="3B943139">
      <w:pPr>
        <w:rPr>
          <w:rFonts w:hint="eastAsia" w:asciiTheme="minorEastAsia" w:hAnsiTheme="minorEastAsia" w:eastAsiaTheme="minorEastAsia" w:cstheme="minorEastAsia"/>
          <w:color w:val="auto"/>
          <w:highlight w:val="none"/>
        </w:rPr>
      </w:pPr>
    </w:p>
    <w:p w14:paraId="6399CCAA">
      <w:pPr>
        <w:rPr>
          <w:rFonts w:hint="eastAsia" w:asciiTheme="minorEastAsia" w:hAnsiTheme="minorEastAsia" w:eastAsiaTheme="minorEastAsia" w:cstheme="minorEastAsia"/>
          <w:color w:val="auto"/>
          <w:highlight w:val="none"/>
        </w:rPr>
      </w:pPr>
    </w:p>
    <w:p w14:paraId="47C708AD">
      <w:pPr>
        <w:rPr>
          <w:rFonts w:hint="eastAsia" w:asciiTheme="minorEastAsia" w:hAnsiTheme="minorEastAsia" w:eastAsiaTheme="minorEastAsia" w:cstheme="minorEastAsia"/>
          <w:color w:val="auto"/>
          <w:highlight w:val="none"/>
        </w:rPr>
      </w:pPr>
    </w:p>
    <w:p w14:paraId="26ED8948">
      <w:pPr>
        <w:rPr>
          <w:rFonts w:hint="eastAsia" w:asciiTheme="minorEastAsia" w:hAnsiTheme="minorEastAsia" w:eastAsiaTheme="minorEastAsia" w:cstheme="minorEastAsia"/>
          <w:color w:val="auto"/>
          <w:highlight w:val="none"/>
        </w:rPr>
      </w:pPr>
    </w:p>
    <w:p w14:paraId="5400E11A">
      <w:pPr>
        <w:rPr>
          <w:rFonts w:hint="eastAsia" w:asciiTheme="minorEastAsia" w:hAnsiTheme="minorEastAsia" w:eastAsiaTheme="minorEastAsia" w:cstheme="minorEastAsia"/>
          <w:color w:val="auto"/>
          <w:highlight w:val="none"/>
        </w:rPr>
      </w:pPr>
    </w:p>
    <w:p w14:paraId="1BFA83F2">
      <w:pPr>
        <w:rPr>
          <w:rFonts w:hint="eastAsia" w:asciiTheme="minorEastAsia" w:hAnsiTheme="minorEastAsia" w:eastAsiaTheme="minorEastAsia" w:cstheme="minorEastAsia"/>
          <w:color w:val="auto"/>
          <w:highlight w:val="none"/>
        </w:rPr>
      </w:pPr>
    </w:p>
    <w:p w14:paraId="74462DAE">
      <w:pPr>
        <w:rPr>
          <w:rFonts w:hint="eastAsia" w:asciiTheme="minorEastAsia" w:hAnsiTheme="minorEastAsia" w:eastAsiaTheme="minorEastAsia" w:cstheme="minorEastAsia"/>
          <w:color w:val="auto"/>
          <w:highlight w:val="none"/>
        </w:rPr>
      </w:pPr>
    </w:p>
    <w:p w14:paraId="28F3BDFB">
      <w:pPr>
        <w:rPr>
          <w:rFonts w:hint="eastAsia" w:asciiTheme="minorEastAsia" w:hAnsiTheme="minorEastAsia" w:eastAsiaTheme="minorEastAsia" w:cstheme="minorEastAsia"/>
          <w:color w:val="auto"/>
          <w:highlight w:val="none"/>
        </w:rPr>
      </w:pPr>
    </w:p>
    <w:p w14:paraId="7C5DF6E2">
      <w:pPr>
        <w:rPr>
          <w:rFonts w:hint="eastAsia" w:asciiTheme="minorEastAsia" w:hAnsiTheme="minorEastAsia" w:eastAsiaTheme="minorEastAsia" w:cstheme="minorEastAsia"/>
          <w:color w:val="auto"/>
          <w:highlight w:val="none"/>
        </w:rPr>
      </w:pPr>
    </w:p>
    <w:p w14:paraId="0AC5BC88">
      <w:pPr>
        <w:rPr>
          <w:rFonts w:hint="eastAsia" w:asciiTheme="minorEastAsia" w:hAnsiTheme="minorEastAsia" w:eastAsiaTheme="minorEastAsia" w:cstheme="minorEastAsia"/>
          <w:color w:val="auto"/>
          <w:highlight w:val="none"/>
        </w:rPr>
      </w:pPr>
    </w:p>
    <w:p w14:paraId="337CE79F">
      <w:pPr>
        <w:rPr>
          <w:rFonts w:hint="eastAsia" w:asciiTheme="minorEastAsia" w:hAnsiTheme="minorEastAsia" w:eastAsiaTheme="minorEastAsia" w:cstheme="minorEastAsia"/>
          <w:color w:val="auto"/>
          <w:highlight w:val="none"/>
        </w:rPr>
      </w:pPr>
    </w:p>
    <w:p w14:paraId="4608F4AF">
      <w:pPr>
        <w:rPr>
          <w:rFonts w:hint="eastAsia" w:asciiTheme="minorEastAsia" w:hAnsiTheme="minorEastAsia" w:eastAsiaTheme="minorEastAsia" w:cstheme="minorEastAsia"/>
          <w:color w:val="auto"/>
          <w:highlight w:val="none"/>
        </w:rPr>
      </w:pPr>
    </w:p>
    <w:p w14:paraId="58A5582F">
      <w:pPr>
        <w:pStyle w:val="2"/>
        <w:spacing w:before="0" w:after="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6"/>
          <w:highlight w:val="none"/>
        </w:rPr>
        <w:t>第一章　采购公告</w:t>
      </w:r>
    </w:p>
    <w:p w14:paraId="050A35CC">
      <w:pPr>
        <w:spacing w:line="360" w:lineRule="auto"/>
        <w:ind w:firstLine="480" w:firstLineChars="200"/>
        <w:rPr>
          <w:rFonts w:hint="eastAsia" w:asciiTheme="minorEastAsia" w:hAnsiTheme="minorEastAsia" w:eastAsiaTheme="minorEastAsia" w:cstheme="minorEastAsia"/>
          <w:color w:val="auto"/>
          <w:sz w:val="24"/>
          <w:highlight w:val="none"/>
        </w:rPr>
      </w:pPr>
      <w:bookmarkStart w:id="2" w:name="OLE_LINK5"/>
      <w:r>
        <w:rPr>
          <w:rFonts w:hint="eastAsia" w:asciiTheme="minorEastAsia" w:hAnsiTheme="minorEastAsia" w:eastAsiaTheme="minorEastAsia" w:cstheme="minorEastAsia"/>
          <w:color w:val="auto"/>
          <w:sz w:val="24"/>
          <w:highlight w:val="none"/>
        </w:rPr>
        <w:t>浙江开平企业管理咨询有限公司受</w:t>
      </w:r>
      <w:r>
        <w:rPr>
          <w:rFonts w:hint="eastAsia" w:asciiTheme="minorEastAsia" w:hAnsiTheme="minorEastAsia" w:eastAsiaTheme="minorEastAsia" w:cstheme="minorEastAsia"/>
          <w:color w:val="auto"/>
          <w:sz w:val="24"/>
          <w:highlight w:val="none"/>
          <w:lang w:eastAsia="zh-CN"/>
        </w:rPr>
        <w:t>义乌市苏溪镇中心卫生院</w:t>
      </w:r>
      <w:r>
        <w:rPr>
          <w:rFonts w:hint="eastAsia" w:asciiTheme="minorEastAsia" w:hAnsiTheme="minorEastAsia" w:eastAsiaTheme="minorEastAsia" w:cstheme="minorEastAsia"/>
          <w:color w:val="auto"/>
          <w:sz w:val="24"/>
          <w:highlight w:val="none"/>
        </w:rPr>
        <w:t>的委托，</w:t>
      </w:r>
      <w:r>
        <w:rPr>
          <w:rFonts w:hint="eastAsia" w:asciiTheme="minorEastAsia" w:hAnsiTheme="minorEastAsia" w:eastAsiaTheme="minorEastAsia" w:cstheme="minorEastAsia"/>
          <w:color w:val="auto"/>
          <w:kern w:val="0"/>
          <w:sz w:val="24"/>
          <w:highlight w:val="none"/>
        </w:rPr>
        <w:t>就</w:t>
      </w:r>
      <w:r>
        <w:rPr>
          <w:rFonts w:hint="eastAsia" w:asciiTheme="minorEastAsia" w:hAnsiTheme="minorEastAsia" w:eastAsiaTheme="minorEastAsia" w:cstheme="minorEastAsia"/>
          <w:color w:val="auto"/>
          <w:sz w:val="24"/>
          <w:highlight w:val="none"/>
          <w:lang w:eastAsia="zh-CN"/>
        </w:rPr>
        <w:t>义乌市苏溪镇中心卫生院</w:t>
      </w:r>
      <w:r>
        <w:rPr>
          <w:rFonts w:hint="eastAsia" w:asciiTheme="minorEastAsia" w:hAnsiTheme="minorEastAsia" w:eastAsiaTheme="minorEastAsia" w:cstheme="minorEastAsia"/>
          <w:color w:val="auto"/>
          <w:sz w:val="24"/>
          <w:highlight w:val="none"/>
        </w:rPr>
        <w:t>中药配方颗粒进行</w:t>
      </w:r>
      <w:r>
        <w:rPr>
          <w:rFonts w:hint="eastAsia" w:asciiTheme="minorEastAsia" w:hAnsiTheme="minorEastAsia" w:eastAsiaTheme="minorEastAsia" w:cstheme="minorEastAsia"/>
          <w:bCs/>
          <w:color w:val="auto"/>
          <w:sz w:val="24"/>
          <w:highlight w:val="none"/>
          <w:u w:val="single"/>
        </w:rPr>
        <w:t>公开招标</w:t>
      </w:r>
      <w:r>
        <w:rPr>
          <w:rFonts w:hint="eastAsia" w:asciiTheme="minorEastAsia" w:hAnsiTheme="minorEastAsia" w:eastAsiaTheme="minorEastAsia" w:cstheme="minorEastAsia"/>
          <w:color w:val="auto"/>
          <w:sz w:val="24"/>
          <w:highlight w:val="none"/>
        </w:rPr>
        <w:t>采购，欢迎国内合格的供应商参加投标。</w:t>
      </w:r>
    </w:p>
    <w:p w14:paraId="367D9EC7">
      <w:pPr>
        <w:pStyle w:val="13"/>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采购编号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ZJKP2026YW117G</w:t>
      </w:r>
    </w:p>
    <w:p w14:paraId="0626D03F">
      <w:pPr>
        <w:spacing w:line="360" w:lineRule="auto"/>
        <w:ind w:firstLine="470" w:firstLineChars="196"/>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w:t>
      </w:r>
      <w:r>
        <w:rPr>
          <w:rFonts w:hint="eastAsia" w:asciiTheme="minorEastAsia" w:hAnsiTheme="minorEastAsia" w:eastAsiaTheme="minorEastAsia" w:cstheme="minorEastAsia"/>
          <w:b/>
          <w:color w:val="auto"/>
          <w:sz w:val="24"/>
          <w:highlight w:val="none"/>
        </w:rPr>
        <w:t>采购内容：</w:t>
      </w:r>
      <w:r>
        <w:rPr>
          <w:rFonts w:hint="eastAsia" w:asciiTheme="minorEastAsia" w:hAnsiTheme="minorEastAsia" w:eastAsiaTheme="minorEastAsia" w:cstheme="minorEastAsia"/>
          <w:color w:val="auto"/>
          <w:sz w:val="24"/>
          <w:highlight w:val="none"/>
          <w:lang w:eastAsia="zh-CN"/>
        </w:rPr>
        <w:t>义乌市苏溪镇中心卫生院</w:t>
      </w:r>
      <w:r>
        <w:rPr>
          <w:rFonts w:hint="eastAsia" w:asciiTheme="minorEastAsia" w:hAnsiTheme="minorEastAsia" w:eastAsiaTheme="minorEastAsia" w:cstheme="minorEastAsia"/>
          <w:color w:val="auto"/>
          <w:sz w:val="24"/>
          <w:highlight w:val="none"/>
        </w:rPr>
        <w:t>中药配方颗粒采购。</w:t>
      </w:r>
    </w:p>
    <w:p w14:paraId="2077DF79">
      <w:pPr>
        <w:pStyle w:val="13"/>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投标人的资格要求：</w:t>
      </w:r>
    </w:p>
    <w:p w14:paraId="481162AD">
      <w:pPr>
        <w:pStyle w:val="13"/>
        <w:adjustRightIn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（1）符合《中华人民共和国政府采购法》第二十二条供应商应当具备的条件。</w:t>
      </w:r>
    </w:p>
    <w:p w14:paraId="1FEFCC3D">
      <w:pPr>
        <w:pStyle w:val="13"/>
        <w:adjustRightIn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（2）投标人必须依法取得《药品生产许可证》，并具有相应生产认证范围。</w:t>
      </w:r>
    </w:p>
    <w:p w14:paraId="4D4B9D4B">
      <w:pPr>
        <w:pStyle w:val="13"/>
        <w:adjustRightIn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（3）投标人必须是符合《中华人民共和国药品管理法》</w:t>
      </w:r>
      <w:r>
        <w:rPr>
          <w:rFonts w:hint="eastAsia" w:asciiTheme="minorEastAsia" w:hAnsiTheme="minorEastAsia" w:cstheme="minorEastAsia"/>
          <w:bCs/>
          <w:color w:val="auto"/>
          <w:sz w:val="24"/>
          <w:szCs w:val="24"/>
          <w:highlight w:val="none"/>
          <w:lang w:eastAsia="zh-CN"/>
        </w:rPr>
        <w:t>《中药配方颗粒管理办法（征求意见稿）》</w:t>
      </w:r>
      <w:r>
        <w:rPr>
          <w:rFonts w:hint="eastAsia" w:asciiTheme="minorEastAsia" w:hAnsiTheme="minorEastAsia" w:eastAsiaTheme="minorEastAsia" w:cstheme="minorEastAsia"/>
          <w:bCs/>
          <w:color w:val="auto"/>
          <w:sz w:val="24"/>
          <w:szCs w:val="24"/>
          <w:highlight w:val="none"/>
        </w:rPr>
        <w:t>、《浙江省中药配方颗粒管理细则》等相关文件要求，能依法生产、经营、资信状况良好的企业。</w:t>
      </w:r>
    </w:p>
    <w:p w14:paraId="4E8547E5">
      <w:pPr>
        <w:pStyle w:val="13"/>
        <w:adjustRightIn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（4）投标人自2023年1月1日起到中标公告期结束前无行贿犯罪记录［查询结果以中国裁判文书网网站页面显示内容为准］。</w:t>
      </w:r>
    </w:p>
    <w:p w14:paraId="5DFAEA52">
      <w:pPr>
        <w:pStyle w:val="13"/>
        <w:adjustRightIn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政主管部门处罚处于暂停承接业务资格期的；或被义乌市政府采购监管部门列入不良行为还在公示期内的或者处于暂停政府采购资格期的；或被“信用中国”、中国政府采购网列入失信被执行人、重大税收违法失信主体、政府采购严重违法失信行为记录名单的。</w:t>
      </w:r>
    </w:p>
    <w:p w14:paraId="74A0B189">
      <w:pPr>
        <w:pStyle w:val="13"/>
        <w:adjustRightIn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（6）本项目不接受联合体投标。</w:t>
      </w:r>
    </w:p>
    <w:p w14:paraId="4CF7713B">
      <w:pPr>
        <w:pStyle w:val="13"/>
        <w:adjustRightIn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（7）单位负责人为同一人或者存在直接控股、管理关系的不同供应商，不得参加同一合同项（同一标项）下的政府采购活动。</w:t>
      </w:r>
    </w:p>
    <w:p w14:paraId="62406614">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t>4</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color w:val="auto"/>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w:t>
      </w:r>
    </w:p>
    <w:p w14:paraId="7AF91798">
      <w:pPr>
        <w:pStyle w:val="13"/>
        <w:spacing w:line="360" w:lineRule="auto"/>
        <w:ind w:firstLine="480" w:firstLineChars="200"/>
        <w:rPr>
          <w:rFonts w:hint="eastAsia" w:asciiTheme="minorEastAsia" w:hAnsiTheme="minorEastAsia" w:eastAsiaTheme="minorEastAsia" w:cstheme="minorEastAsia"/>
          <w:b/>
          <w:color w:val="auto"/>
          <w:sz w:val="24"/>
          <w:highlight w:val="none"/>
        </w:rPr>
      </w:pPr>
      <w:bookmarkStart w:id="3" w:name="OLE_LINK4"/>
      <w:bookmarkStart w:id="4" w:name="OLE_LINK3"/>
      <w:r>
        <w:rPr>
          <w:rFonts w:hint="eastAsia" w:asciiTheme="minorEastAsia" w:hAnsiTheme="minorEastAsia" w:eastAsiaTheme="minorEastAsia" w:cstheme="minorEastAsia"/>
          <w:b/>
          <w:color w:val="auto"/>
          <w:sz w:val="24"/>
          <w:highlight w:val="none"/>
        </w:rPr>
        <w:t>5</w:t>
      </w:r>
      <w:r>
        <w:rPr>
          <w:rFonts w:hint="eastAsia" w:asciiTheme="minorEastAsia" w:hAnsiTheme="minorEastAsia" w:eastAsiaTheme="minorEastAsia" w:cstheme="minorEastAsia"/>
          <w:b/>
          <w:color w:val="auto"/>
          <w:sz w:val="24"/>
          <w:highlight w:val="none"/>
          <w:lang w:val="en-US" w:eastAsia="zh-CN"/>
        </w:rPr>
        <w:t>.</w:t>
      </w:r>
      <w:r>
        <w:rPr>
          <w:rFonts w:hint="eastAsia" w:asciiTheme="minorEastAsia" w:hAnsiTheme="minorEastAsia" w:eastAsiaTheme="minorEastAsia" w:cstheme="minorEastAsia"/>
          <w:b/>
          <w:color w:val="auto"/>
          <w:sz w:val="24"/>
          <w:highlight w:val="none"/>
        </w:rPr>
        <w:t>报名：</w:t>
      </w:r>
    </w:p>
    <w:bookmarkEnd w:id="3"/>
    <w:bookmarkEnd w:id="4"/>
    <w:p w14:paraId="58E7D439">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（1）报名时间：</w:t>
      </w: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cstheme="minorEastAsia"/>
          <w:color w:val="auto"/>
          <w:sz w:val="24"/>
          <w:highlight w:val="none"/>
          <w:lang w:val="en-US" w:eastAsia="zh-CN"/>
        </w:rPr>
        <w:t>13</w:t>
      </w:r>
      <w:r>
        <w:rPr>
          <w:rFonts w:hint="eastAsia" w:asciiTheme="minorEastAsia" w:hAnsiTheme="minorEastAsia" w:eastAsiaTheme="minorEastAsia" w:cstheme="minorEastAsia"/>
          <w:color w:val="auto"/>
          <w:sz w:val="24"/>
          <w:highlight w:val="none"/>
        </w:rPr>
        <w:t>日至</w:t>
      </w:r>
      <w:r>
        <w:rPr>
          <w:rFonts w:hint="eastAsia" w:asciiTheme="minorEastAsia" w:hAnsi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8:30—11:30，13:30—17:00，节假日除外）。招标文件获取截止时间之后至开标前，潜在的投标人仍可获取招标文件，如对招标文件有疑问的，答疑时间按招标文件规定执行。招标文件每份收取资料工本费</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00元人民币，售后不退。</w:t>
      </w:r>
      <w:r>
        <w:rPr>
          <w:rFonts w:hint="eastAsia" w:asciiTheme="minorEastAsia" w:hAnsiTheme="minorEastAsia" w:eastAsiaTheme="minorEastAsia" w:cstheme="minorEastAsia"/>
          <w:b/>
          <w:color w:val="auto"/>
          <w:sz w:val="24"/>
          <w:highlight w:val="none"/>
        </w:rPr>
        <w:t>汇款时必须使用公对公账号，并注明采购项目名称和采购编号。</w:t>
      </w:r>
    </w:p>
    <w:p w14:paraId="2A31B56D">
      <w:pPr>
        <w:pStyle w:val="1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报名费收款人：浙江开平企业管理咨询有限公司</w:t>
      </w:r>
    </w:p>
    <w:p w14:paraId="72E5F6F3">
      <w:pPr>
        <w:pStyle w:val="1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号：33001676248059000088</w:t>
      </w:r>
    </w:p>
    <w:p w14:paraId="1B89C327">
      <w:pPr>
        <w:pStyle w:val="1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开户银行：义乌市建行乐园分理处</w:t>
      </w:r>
    </w:p>
    <w:p w14:paraId="75D06B17">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注：缴纳凭证应注明“（采购编号）报名费”字样。</w:t>
      </w:r>
    </w:p>
    <w:p w14:paraId="1D9D0F18">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（2）报名方式：本项目招标文件全部以电子文本形式出售。潜在供应商可以通过电子邮件形式进行在线报名，将报名资料发送至代理机构指定邮箱zjkpemc@vip.163.com。</w:t>
      </w:r>
      <w:r>
        <w:rPr>
          <w:rFonts w:hint="eastAsia" w:asciiTheme="minorEastAsia" w:hAnsiTheme="minorEastAsia" w:eastAsiaTheme="minorEastAsia" w:cstheme="minorEastAsia"/>
          <w:b/>
          <w:color w:val="auto"/>
          <w:sz w:val="24"/>
          <w:highlight w:val="none"/>
        </w:rPr>
        <w:t>报名时必须留下报名单位联系人姓名和联系电话，否则因代理机构联系不上投标人而出现差错，采购方概不负责。</w:t>
      </w:r>
    </w:p>
    <w:p w14:paraId="64ED9FFA">
      <w:pPr>
        <w:pStyle w:val="1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（3）标书出售联系电话：0579-85321863</w:t>
      </w:r>
      <w:r>
        <w:rPr>
          <w:rFonts w:hint="eastAsia" w:asciiTheme="minorEastAsia" w:hAnsiTheme="minorEastAsia" w:eastAsiaTheme="minorEastAsia" w:cstheme="minorEastAsia"/>
          <w:color w:val="auto"/>
          <w:sz w:val="24"/>
          <w:szCs w:val="24"/>
          <w:highlight w:val="none"/>
        </w:rPr>
        <w:t>。</w:t>
      </w:r>
    </w:p>
    <w:p w14:paraId="5CF3A581">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6</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报名时所需资料</w:t>
      </w:r>
      <w:r>
        <w:rPr>
          <w:rFonts w:hint="eastAsia" w:asciiTheme="minorEastAsia" w:hAnsiTheme="minorEastAsia" w:eastAsiaTheme="minorEastAsia" w:cstheme="minorEastAsia"/>
          <w:color w:val="auto"/>
          <w:sz w:val="24"/>
          <w:szCs w:val="24"/>
          <w:highlight w:val="none"/>
        </w:rPr>
        <w:t>（复印件或扫描件加盖单位公章）：</w:t>
      </w:r>
    </w:p>
    <w:p w14:paraId="053F2F1A">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投标单位在“</w:t>
      </w:r>
      <w:r>
        <w:rPr>
          <w:rFonts w:hint="eastAsia" w:asciiTheme="minorEastAsia" w:hAnsiTheme="minorEastAsia" w:eastAsiaTheme="minorEastAsia" w:cstheme="minorEastAsia"/>
          <w:color w:val="auto"/>
          <w:sz w:val="24"/>
          <w:highlight w:val="none"/>
          <w:lang w:eastAsia="zh-CN"/>
        </w:rPr>
        <w:t>国家企业信用信息公示</w:t>
      </w:r>
      <w:r>
        <w:rPr>
          <w:rFonts w:hint="eastAsia" w:asciiTheme="minorEastAsia" w:hAnsiTheme="minorEastAsia" w:eastAsiaTheme="minorEastAsia" w:cstheme="minorEastAsia"/>
          <w:color w:val="auto"/>
          <w:sz w:val="24"/>
          <w:highlight w:val="none"/>
        </w:rPr>
        <w:t>系统”上的单位详细信息打印件，或单位营业执照副本原件（或公证件）及复印件（打印件、复印件均须加盖投标单位公章，下同）</w:t>
      </w:r>
      <w:r>
        <w:rPr>
          <w:rFonts w:hint="eastAsia" w:asciiTheme="minorEastAsia" w:hAnsiTheme="minorEastAsia" w:eastAsiaTheme="minorEastAsia" w:cstheme="minorEastAsia"/>
          <w:color w:val="auto"/>
          <w:sz w:val="24"/>
          <w:szCs w:val="24"/>
          <w:highlight w:val="none"/>
        </w:rPr>
        <w:t>；</w:t>
      </w:r>
    </w:p>
    <w:p w14:paraId="7BAE804B">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（2）法定代表人授权书；</w:t>
      </w:r>
    </w:p>
    <w:p w14:paraId="0B7E0A34">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（3）被授权人身份证；</w:t>
      </w:r>
    </w:p>
    <w:p w14:paraId="1833C223">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（4）投标人简介；</w:t>
      </w:r>
    </w:p>
    <w:p w14:paraId="02A1EA3A">
      <w:pPr>
        <w:pStyle w:val="13"/>
        <w:adjustRightInd w:val="0"/>
        <w:snapToGrid w:val="0"/>
        <w:spacing w:line="460" w:lineRule="exact"/>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rPr>
        <w:t>（5）药品生产许可证复印件</w:t>
      </w:r>
      <w:r>
        <w:rPr>
          <w:rFonts w:hint="eastAsia" w:asciiTheme="minorEastAsia" w:hAnsiTheme="minorEastAsia" w:eastAsiaTheme="minorEastAsia" w:cstheme="minorEastAsia"/>
          <w:color w:val="auto"/>
          <w:sz w:val="24"/>
          <w:szCs w:val="24"/>
          <w:highlight w:val="none"/>
          <w:lang w:eastAsia="zh-CN"/>
        </w:rPr>
        <w:t>。</w:t>
      </w:r>
    </w:p>
    <w:p w14:paraId="19E72756">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7</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递交投标文件截止及开标时间：</w:t>
      </w:r>
      <w:r>
        <w:rPr>
          <w:rFonts w:hint="eastAsia" w:asciiTheme="minorEastAsia" w:hAnsiTheme="minorEastAsia" w:cstheme="minorEastAsia"/>
          <w:color w:val="auto"/>
          <w:sz w:val="24"/>
          <w:szCs w:val="24"/>
          <w:highlight w:val="none"/>
          <w:lang w:eastAsia="zh-CN"/>
        </w:rPr>
        <w:t>2026年8月4日09:30</w:t>
      </w:r>
      <w:r>
        <w:rPr>
          <w:rFonts w:hint="eastAsia" w:asciiTheme="minorEastAsia" w:hAnsiTheme="minorEastAsia" w:eastAsiaTheme="minorEastAsia" w:cstheme="minorEastAsia"/>
          <w:color w:val="auto"/>
          <w:sz w:val="24"/>
          <w:szCs w:val="24"/>
          <w:highlight w:val="none"/>
        </w:rPr>
        <w:t>时。</w:t>
      </w:r>
    </w:p>
    <w:p w14:paraId="54828E1F">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本项目开标程序按照“不见面开标”的要求，于</w:t>
      </w:r>
      <w:r>
        <w:rPr>
          <w:rFonts w:hint="eastAsia" w:asciiTheme="minorEastAsia" w:hAnsiTheme="minorEastAsia" w:cstheme="minorEastAsia"/>
          <w:color w:val="auto"/>
          <w:sz w:val="24"/>
          <w:highlight w:val="none"/>
          <w:lang w:eastAsia="zh-CN"/>
        </w:rPr>
        <w:t>2026年8月4日09:30</w:t>
      </w:r>
      <w:r>
        <w:rPr>
          <w:rFonts w:hint="eastAsia" w:asciiTheme="minorEastAsia" w:hAnsiTheme="minorEastAsia" w:eastAsiaTheme="minorEastAsia" w:cstheme="minorEastAsia"/>
          <w:color w:val="auto"/>
          <w:sz w:val="24"/>
          <w:highlight w:val="none"/>
        </w:rPr>
        <w:t>前送达投标响应文件。</w:t>
      </w:r>
    </w:p>
    <w:p w14:paraId="1CBCC0DD">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szCs w:val="24"/>
          <w:highlight w:val="none"/>
        </w:rPr>
        <w:t>投标文件递交方式：</w:t>
      </w:r>
    </w:p>
    <w:p w14:paraId="77EB4984">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A.投标文件采用邮寄的投标方式，递交投标文件截止及开标时间以后送达的或破损包装的投标文件不予接收，快递退回。</w:t>
      </w:r>
    </w:p>
    <w:p w14:paraId="51243354">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shd w:val="clear" w:color="auto" w:fill="FFFFFF"/>
        </w:rPr>
        <w:t>B.投标人当面递交的，开标当天统一接收模式：在开标前1小时内，投标人直接将投标文件送至</w:t>
      </w:r>
      <w:r>
        <w:rPr>
          <w:rFonts w:hint="eastAsia" w:asciiTheme="minorEastAsia" w:hAnsiTheme="minorEastAsia" w:eastAsiaTheme="minorEastAsia" w:cstheme="minorEastAsia"/>
          <w:color w:val="auto"/>
          <w:sz w:val="24"/>
          <w:highlight w:val="none"/>
        </w:rPr>
        <w:t>浙江开平企业管理咨询有限公司。</w:t>
      </w:r>
    </w:p>
    <w:p w14:paraId="29E9FCEB">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地址：浙江开平企业管理咨询有限公司（义乌市雪峰西路968号科创园科技大楼B区4楼）</w:t>
      </w:r>
    </w:p>
    <w:p w14:paraId="5E453D46">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收件人：赵棋明       联系方式：0579-85328516</w:t>
      </w:r>
    </w:p>
    <w:p w14:paraId="21756A86">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szCs w:val="24"/>
          <w:highlight w:val="none"/>
        </w:rPr>
        <w:t>投标文件采用两层包装，即投标文件按招标文件要求包装后再进行外包装，外包装格式详见</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邮寄附件。请各投标人确保在邮寄过程</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密封包装完好，因邮寄过程</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密封破损造成不符合开标要求的，本招标代理</w:t>
      </w:r>
      <w:r>
        <w:rPr>
          <w:rFonts w:hint="eastAsia" w:asciiTheme="minorEastAsia" w:hAnsiTheme="minorEastAsia" w:eastAsiaTheme="minorEastAsia" w:cstheme="minorEastAsia"/>
          <w:color w:val="auto"/>
          <w:sz w:val="24"/>
          <w:szCs w:val="24"/>
          <w:highlight w:val="none"/>
          <w:lang w:eastAsia="zh-CN"/>
        </w:rPr>
        <w:t>机构</w:t>
      </w:r>
      <w:r>
        <w:rPr>
          <w:rFonts w:hint="eastAsia" w:asciiTheme="minorEastAsia" w:hAnsiTheme="minorEastAsia" w:eastAsiaTheme="minorEastAsia" w:cstheme="minorEastAsia"/>
          <w:color w:val="auto"/>
          <w:sz w:val="24"/>
          <w:szCs w:val="24"/>
          <w:highlight w:val="none"/>
        </w:rPr>
        <w:t>及采购人概不负责。建议投标文件包装后邮寄时再进行外包装。供应商对邮寄快递招标、采购文件的完整性、密封性负责。</w:t>
      </w:r>
    </w:p>
    <w:p w14:paraId="79DF5BE8">
      <w:pPr>
        <w:pStyle w:val="1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（3）评审过程中有关澄清、说明或者补正，招标代理通过以下电子邮箱进行收发。电子邮箱：zjkpemc@vip.163.com。</w:t>
      </w:r>
    </w:p>
    <w:p w14:paraId="10144E52">
      <w:pPr>
        <w:pStyle w:val="13"/>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（4）投标人须在投标文件中提供：①指定作出澄清、说明或补正的电子邮箱；②法定代表人或授权代表的钉钉号。</w:t>
      </w:r>
    </w:p>
    <w:p w14:paraId="4664D812">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highlight w:val="none"/>
        </w:rPr>
        <w:t>8</w:t>
      </w:r>
      <w:r>
        <w:rPr>
          <w:rFonts w:hint="eastAsia" w:asciiTheme="minorEastAsia" w:hAnsiTheme="minorEastAsia" w:eastAsiaTheme="minorEastAsia" w:cstheme="minorEastAsia"/>
          <w:b/>
          <w:color w:val="auto"/>
          <w:sz w:val="24"/>
          <w:highlight w:val="none"/>
          <w:lang w:val="en-US" w:eastAsia="zh-CN"/>
        </w:rPr>
        <w:t>.</w:t>
      </w:r>
      <w:r>
        <w:rPr>
          <w:rFonts w:hint="eastAsia" w:asciiTheme="minorEastAsia" w:hAnsiTheme="minorEastAsia" w:eastAsiaTheme="minorEastAsia" w:cstheme="minorEastAsia"/>
          <w:b/>
          <w:color w:val="auto"/>
          <w:sz w:val="24"/>
          <w:highlight w:val="none"/>
        </w:rPr>
        <w:t>开标地点：</w:t>
      </w:r>
      <w:r>
        <w:rPr>
          <w:rFonts w:hint="eastAsia" w:asciiTheme="minorEastAsia" w:hAnsiTheme="minorEastAsia" w:eastAsiaTheme="minorEastAsia" w:cstheme="minorEastAsia"/>
          <w:color w:val="auto"/>
          <w:sz w:val="24"/>
          <w:highlight w:val="none"/>
        </w:rPr>
        <w:t>浙江开平企业管理咨询有限公司开标室（义乌市雪峰西路968号科创园科技大楼B区4楼）</w:t>
      </w:r>
    </w:p>
    <w:p w14:paraId="04E39A8F">
      <w:pPr>
        <w:pStyle w:val="13"/>
        <w:adjustRightInd w:val="0"/>
        <w:snapToGrid w:val="0"/>
        <w:spacing w:line="46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9</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投标保证金：</w:t>
      </w:r>
      <w:r>
        <w:rPr>
          <w:rFonts w:hint="eastAsia" w:asciiTheme="minorEastAsia" w:hAnsiTheme="minorEastAsia" w:eastAsiaTheme="minorEastAsia" w:cstheme="minorEastAsia"/>
          <w:color w:val="auto"/>
          <w:sz w:val="24"/>
          <w:szCs w:val="24"/>
          <w:highlight w:val="none"/>
        </w:rPr>
        <w:t>无。</w:t>
      </w:r>
    </w:p>
    <w:p w14:paraId="093A5B28">
      <w:pPr>
        <w:pStyle w:val="13"/>
        <w:adjustRightInd w:val="0"/>
        <w:snapToGrid w:val="0"/>
        <w:spacing w:line="46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业务咨询：</w:t>
      </w:r>
    </w:p>
    <w:p w14:paraId="7590782E">
      <w:pPr>
        <w:pStyle w:val="13"/>
        <w:pageBreakBefore w:val="0"/>
        <w:kinsoku/>
        <w:wordWrap/>
        <w:overflowPunct/>
        <w:topLinePunct w:val="0"/>
        <w:autoSpaceDE/>
        <w:autoSpaceDN/>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采购单位</w:t>
      </w:r>
      <w:r>
        <w:rPr>
          <w:rFonts w:hint="eastAsia" w:asciiTheme="minorEastAsia" w:hAnsiTheme="minorEastAsia" w:eastAsiaTheme="minorEastAsia" w:cstheme="minorEastAsia"/>
          <w:color w:val="auto"/>
          <w:sz w:val="24"/>
          <w:szCs w:val="24"/>
          <w:highlight w:val="none"/>
          <w:lang w:eastAsia="zh-CN"/>
        </w:rPr>
        <w:t>名称：义乌市苏溪镇中心卫生院</w:t>
      </w:r>
    </w:p>
    <w:p w14:paraId="4DA909A9">
      <w:pPr>
        <w:pStyle w:val="13"/>
        <w:pageBreakBefore w:val="0"/>
        <w:kinsoku/>
        <w:wordWrap/>
        <w:overflowPunct/>
        <w:topLinePunct w:val="0"/>
        <w:autoSpaceDE/>
        <w:autoSpaceDN/>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地址：义乌市苏溪镇好派路 1 号</w:t>
      </w:r>
    </w:p>
    <w:p w14:paraId="68B0E848">
      <w:pPr>
        <w:pStyle w:val="13"/>
        <w:pageBreakBefore w:val="0"/>
        <w:kinsoku/>
        <w:wordWrap/>
        <w:overflowPunct/>
        <w:topLinePunct w:val="0"/>
        <w:autoSpaceDE/>
        <w:autoSpaceDN/>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val="en-US" w:eastAsia="zh-CN"/>
        </w:rPr>
        <w:t>毛</w:t>
      </w:r>
      <w:r>
        <w:rPr>
          <w:rFonts w:hint="eastAsia" w:asciiTheme="minorEastAsia" w:hAnsiTheme="minorEastAsia" w:eastAsiaTheme="minorEastAsia" w:cstheme="minorEastAsia"/>
          <w:color w:val="auto"/>
          <w:sz w:val="24"/>
          <w:szCs w:val="24"/>
          <w:highlight w:val="none"/>
          <w:lang w:eastAsia="zh-CN"/>
        </w:rPr>
        <w:t xml:space="preserve">主任      </w:t>
      </w:r>
    </w:p>
    <w:p w14:paraId="62FE04ED">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联系电话：0579-89983570 </w:t>
      </w:r>
    </w:p>
    <w:p w14:paraId="422EBE19">
      <w:pPr>
        <w:rPr>
          <w:rFonts w:hint="eastAsia" w:asciiTheme="minorEastAsia" w:hAnsiTheme="minorEastAsia" w:eastAsiaTheme="minorEastAsia" w:cstheme="minorEastAsia"/>
          <w:color w:val="auto"/>
          <w:highlight w:val="none"/>
        </w:rPr>
      </w:pPr>
    </w:p>
    <w:p w14:paraId="1B0DD349">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采购代理机构：浙江开平企业管理咨询有限公司</w:t>
      </w:r>
    </w:p>
    <w:p w14:paraId="10A0CBBA">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地址：义乌市雪峰西路968号科创园科技大楼B区4楼  </w:t>
      </w:r>
    </w:p>
    <w:p w14:paraId="1EBB1055">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邮编：322000                 </w:t>
      </w:r>
    </w:p>
    <w:p w14:paraId="6802DCAE">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联系人：赵棋明 </w:t>
      </w:r>
    </w:p>
    <w:p w14:paraId="30AAA6DD">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eastAsia="zh-CN"/>
        </w:rPr>
        <w:t>0579-85328516</w:t>
      </w:r>
      <w:r>
        <w:rPr>
          <w:rFonts w:hint="eastAsia" w:asciiTheme="minorEastAsia" w:hAnsiTheme="minorEastAsia" w:eastAsiaTheme="minorEastAsia" w:cstheme="minorEastAsia"/>
          <w:color w:val="auto"/>
          <w:sz w:val="24"/>
          <w:szCs w:val="24"/>
          <w:highlight w:val="none"/>
        </w:rPr>
        <w:t>、85317081</w:t>
      </w:r>
    </w:p>
    <w:p w14:paraId="3B2ED8B3">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r>
        <w:rPr>
          <w:rFonts w:hint="eastAsia" w:asciiTheme="minorEastAsia" w:hAnsiTheme="minorEastAsia" w:eastAsiaTheme="minorEastAsia" w:cstheme="minorEastAsia"/>
          <w:color w:val="auto"/>
          <w:sz w:val="24"/>
          <w:szCs w:val="24"/>
          <w:highlight w:val="none"/>
          <w:lang w:eastAsia="zh-CN"/>
        </w:rPr>
        <w:t>0579-85321521</w:t>
      </w:r>
      <w:r>
        <w:rPr>
          <w:rFonts w:hint="eastAsia" w:asciiTheme="minorEastAsia" w:hAnsiTheme="minorEastAsia" w:eastAsiaTheme="minorEastAsia" w:cstheme="minorEastAsia"/>
          <w:color w:val="auto"/>
          <w:sz w:val="24"/>
          <w:szCs w:val="24"/>
          <w:highlight w:val="none"/>
        </w:rPr>
        <w:t xml:space="preserve">    </w:t>
      </w:r>
    </w:p>
    <w:p w14:paraId="6FB28897">
      <w:pPr>
        <w:pStyle w:val="13"/>
        <w:adjustRightInd w:val="0"/>
        <w:snapToGrid w:val="0"/>
        <w:spacing w:line="4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财务及报名热线：</w:t>
      </w:r>
      <w:r>
        <w:rPr>
          <w:rFonts w:hint="eastAsia" w:asciiTheme="minorEastAsia" w:hAnsiTheme="minorEastAsia" w:eastAsiaTheme="minorEastAsia" w:cstheme="minorEastAsia"/>
          <w:color w:val="auto"/>
          <w:sz w:val="24"/>
          <w:szCs w:val="24"/>
          <w:highlight w:val="none"/>
          <w:lang w:eastAsia="zh-CN"/>
        </w:rPr>
        <w:t>0579-85321863</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highlight w:val="none"/>
        </w:rPr>
        <w:t xml:space="preserve">       </w:t>
      </w:r>
    </w:p>
    <w:bookmarkEnd w:id="2"/>
    <w:p w14:paraId="363B1C82">
      <w:pPr>
        <w:pStyle w:val="2"/>
        <w:spacing w:before="0" w:after="0" w:line="240" w:lineRule="auto"/>
        <w:jc w:val="center"/>
        <w:rPr>
          <w:rFonts w:hint="eastAsia" w:asciiTheme="minorEastAsia" w:hAnsiTheme="minorEastAsia" w:eastAsiaTheme="minorEastAsia" w:cstheme="minorEastAsia"/>
          <w:color w:val="auto"/>
          <w:sz w:val="36"/>
          <w:highlight w:val="none"/>
        </w:rPr>
      </w:pPr>
      <w:bookmarkStart w:id="5" w:name="_Toc349741058"/>
      <w:r>
        <w:rPr>
          <w:rFonts w:hint="eastAsia" w:asciiTheme="minorEastAsia" w:hAnsiTheme="minorEastAsia" w:eastAsiaTheme="minorEastAsia" w:cstheme="minorEastAsia"/>
          <w:color w:val="auto"/>
          <w:sz w:val="36"/>
          <w:highlight w:val="none"/>
        </w:rPr>
        <w:br w:type="page"/>
      </w:r>
      <w:r>
        <w:rPr>
          <w:rFonts w:hint="eastAsia" w:asciiTheme="minorEastAsia" w:hAnsiTheme="minorEastAsia" w:eastAsiaTheme="minorEastAsia" w:cstheme="minorEastAsia"/>
          <w:color w:val="auto"/>
          <w:sz w:val="36"/>
          <w:highlight w:val="none"/>
        </w:rPr>
        <w:t>第二章　投标须知和投标须知前附表</w:t>
      </w:r>
    </w:p>
    <w:p w14:paraId="40260A10">
      <w:pPr>
        <w:spacing w:line="360" w:lineRule="auto"/>
        <w:ind w:firstLine="600" w:firstLineChars="200"/>
        <w:jc w:val="center"/>
        <w:outlineLvl w:val="1"/>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投标须知前附表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5CFA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vAlign w:val="center"/>
          </w:tcPr>
          <w:p w14:paraId="321DD22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9230" w:type="dxa"/>
            <w:gridSpan w:val="2"/>
            <w:vAlign w:val="center"/>
          </w:tcPr>
          <w:p w14:paraId="14AA7BD0">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内容规定</w:t>
            </w:r>
          </w:p>
        </w:tc>
      </w:tr>
      <w:tr w14:paraId="6DD1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0" w:type="dxa"/>
            <w:vAlign w:val="center"/>
          </w:tcPr>
          <w:p w14:paraId="03F9AC0C">
            <w:pPr>
              <w:keepNext w:val="0"/>
              <w:keepLines w:val="0"/>
              <w:pageBreakBefore w:val="0"/>
              <w:widowControl w:val="0"/>
              <w:kinsoku/>
              <w:wordWrap/>
              <w:overflowPunct/>
              <w:topLinePunct w:val="0"/>
              <w:autoSpaceDE/>
              <w:autoSpaceDN/>
              <w:bidi w:val="0"/>
              <w:spacing w:line="240" w:lineRule="auto"/>
              <w:ind w:firstLine="240" w:firstLineChars="1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670" w:type="dxa"/>
            <w:vAlign w:val="center"/>
          </w:tcPr>
          <w:p w14:paraId="5DEC9C64">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7560" w:type="dxa"/>
            <w:vAlign w:val="center"/>
          </w:tcPr>
          <w:p w14:paraId="5BB32622">
            <w:pPr>
              <w:keepNext w:val="0"/>
              <w:keepLines w:val="0"/>
              <w:pageBreakBefore w:val="0"/>
              <w:widowControl w:val="0"/>
              <w:kinsoku/>
              <w:wordWrap/>
              <w:overflowPunct/>
              <w:topLinePunct w:val="0"/>
              <w:autoSpaceDE/>
              <w:autoSpaceDN/>
              <w:bidi w:val="0"/>
              <w:spacing w:before="156" w:beforeLines="50" w:line="240" w:lineRule="auto"/>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lang w:eastAsia="zh-CN"/>
              </w:rPr>
              <w:t>义乌市苏溪镇中心卫生院</w:t>
            </w:r>
            <w:r>
              <w:rPr>
                <w:rFonts w:hint="eastAsia" w:asciiTheme="minorEastAsia" w:hAnsiTheme="minorEastAsia" w:eastAsiaTheme="minorEastAsia" w:cstheme="minorEastAsia"/>
                <w:color w:val="auto"/>
                <w:sz w:val="24"/>
                <w:highlight w:val="none"/>
              </w:rPr>
              <w:t>中药配方颗粒采购项目</w:t>
            </w:r>
          </w:p>
        </w:tc>
      </w:tr>
      <w:tr w14:paraId="3455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20" w:type="dxa"/>
            <w:vAlign w:val="center"/>
          </w:tcPr>
          <w:p w14:paraId="05F85A67">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670" w:type="dxa"/>
            <w:vAlign w:val="center"/>
          </w:tcPr>
          <w:p w14:paraId="70872BA9">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招标方式</w:t>
            </w:r>
          </w:p>
        </w:tc>
        <w:tc>
          <w:tcPr>
            <w:tcW w:w="7560" w:type="dxa"/>
            <w:vAlign w:val="center"/>
          </w:tcPr>
          <w:p w14:paraId="7B9A6B08">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公开招标</w:t>
            </w:r>
          </w:p>
        </w:tc>
      </w:tr>
      <w:tr w14:paraId="38BA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20" w:type="dxa"/>
            <w:vAlign w:val="center"/>
          </w:tcPr>
          <w:p w14:paraId="201D0CF6">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670" w:type="dxa"/>
            <w:vAlign w:val="center"/>
          </w:tcPr>
          <w:p w14:paraId="65CE53A4">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投标单位资格要求</w:t>
            </w:r>
          </w:p>
        </w:tc>
        <w:tc>
          <w:tcPr>
            <w:tcW w:w="7560" w:type="dxa"/>
            <w:vAlign w:val="center"/>
          </w:tcPr>
          <w:p w14:paraId="7EA9D57A">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详见采购公告</w:t>
            </w:r>
          </w:p>
        </w:tc>
      </w:tr>
      <w:tr w14:paraId="6350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20" w:type="dxa"/>
            <w:vAlign w:val="center"/>
          </w:tcPr>
          <w:p w14:paraId="7206D3B1">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670" w:type="dxa"/>
            <w:vAlign w:val="center"/>
          </w:tcPr>
          <w:p w14:paraId="47F757D8">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服务期限</w:t>
            </w:r>
          </w:p>
        </w:tc>
        <w:tc>
          <w:tcPr>
            <w:tcW w:w="7560" w:type="dxa"/>
            <w:vAlign w:val="center"/>
          </w:tcPr>
          <w:p w14:paraId="162DF115">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服务期限为</w:t>
            </w:r>
            <w:r>
              <w:rPr>
                <w:rFonts w:hint="eastAsia" w:asciiTheme="minorEastAsia" w:hAnsiTheme="minorEastAsia" w:eastAsiaTheme="minorEastAsia" w:cstheme="minorEastAsia"/>
                <w:color w:val="auto"/>
                <w:sz w:val="24"/>
                <w:highlight w:val="none"/>
                <w:lang w:eastAsia="zh-CN"/>
              </w:rPr>
              <w:t>两</w:t>
            </w:r>
            <w:r>
              <w:rPr>
                <w:rFonts w:hint="eastAsia" w:asciiTheme="minorEastAsia" w:hAnsiTheme="minorEastAsia" w:eastAsiaTheme="minorEastAsia" w:cstheme="minorEastAsia"/>
                <w:color w:val="auto"/>
                <w:sz w:val="24"/>
                <w:highlight w:val="none"/>
              </w:rPr>
              <w:t>年。</w:t>
            </w:r>
          </w:p>
        </w:tc>
      </w:tr>
      <w:tr w14:paraId="4851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20" w:type="dxa"/>
            <w:vAlign w:val="center"/>
          </w:tcPr>
          <w:p w14:paraId="11E2A450">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1670" w:type="dxa"/>
            <w:vAlign w:val="center"/>
          </w:tcPr>
          <w:p w14:paraId="4E34EAA8">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招标文件发售时间和地点</w:t>
            </w:r>
          </w:p>
        </w:tc>
        <w:tc>
          <w:tcPr>
            <w:tcW w:w="7560" w:type="dxa"/>
            <w:vAlign w:val="center"/>
          </w:tcPr>
          <w:p w14:paraId="5BA328EE">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详见采购公告</w:t>
            </w:r>
          </w:p>
        </w:tc>
      </w:tr>
      <w:tr w14:paraId="4DCB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20" w:type="dxa"/>
            <w:vAlign w:val="center"/>
          </w:tcPr>
          <w:p w14:paraId="139E6C8B">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1670" w:type="dxa"/>
            <w:vAlign w:val="center"/>
          </w:tcPr>
          <w:p w14:paraId="018E137F">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现场踏勘时间</w:t>
            </w:r>
          </w:p>
        </w:tc>
        <w:tc>
          <w:tcPr>
            <w:tcW w:w="7560" w:type="dxa"/>
            <w:vAlign w:val="center"/>
          </w:tcPr>
          <w:p w14:paraId="63A3EC2D">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不统一组织投标方前往项目实施场地踏勘，根据项目实际投标需求，投标方可自行前往项目实施场地进行现场踏勘，以获取编制投标文件所需资料，如投标方因未现场踏勘原因导致投标文件出现错误或遗漏的，由投标方自行承担责任。</w:t>
            </w:r>
          </w:p>
        </w:tc>
      </w:tr>
      <w:tr w14:paraId="31C2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720" w:type="dxa"/>
            <w:vAlign w:val="center"/>
          </w:tcPr>
          <w:p w14:paraId="4A273011">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1670" w:type="dxa"/>
            <w:vAlign w:val="center"/>
          </w:tcPr>
          <w:p w14:paraId="732C59E3">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招标答疑截止时间</w:t>
            </w:r>
          </w:p>
        </w:tc>
        <w:tc>
          <w:tcPr>
            <w:tcW w:w="7560" w:type="dxa"/>
            <w:vAlign w:val="center"/>
          </w:tcPr>
          <w:p w14:paraId="7C65DBCE">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答疑与澄清：投标人如认为招标文件表述不清晰、存在歧视性、排他性或者其他违法内容的，自获取采购文件之日或者采购文件公告期限届满之日（公告期限届满后获取采购文件的，以公告期限届满之日为准）起7个工作日内，以书面递交或传真形式要求招标方作出书面解释、澄清或者向招标方提出书面质疑；本项目不组织答疑会；招标方的答疑内容和书面澄清文件是招标文件的组成部分，同时将书面澄清文件向所有投标人发送。</w:t>
            </w:r>
          </w:p>
        </w:tc>
      </w:tr>
      <w:tr w14:paraId="1AE8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20" w:type="dxa"/>
            <w:vAlign w:val="center"/>
          </w:tcPr>
          <w:p w14:paraId="02FD585E">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1670" w:type="dxa"/>
            <w:vAlign w:val="center"/>
          </w:tcPr>
          <w:p w14:paraId="229D5F5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投标有效期</w:t>
            </w:r>
          </w:p>
        </w:tc>
        <w:tc>
          <w:tcPr>
            <w:tcW w:w="7560" w:type="dxa"/>
            <w:vAlign w:val="center"/>
          </w:tcPr>
          <w:p w14:paraId="0A153658">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自开标之日起60天（日历天）</w:t>
            </w:r>
          </w:p>
        </w:tc>
      </w:tr>
      <w:tr w14:paraId="712D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20" w:type="dxa"/>
            <w:vAlign w:val="center"/>
          </w:tcPr>
          <w:p w14:paraId="668B78F9">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1670" w:type="dxa"/>
            <w:vAlign w:val="center"/>
          </w:tcPr>
          <w:p w14:paraId="74C3B43D">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投标文件递交地点</w:t>
            </w:r>
          </w:p>
        </w:tc>
        <w:tc>
          <w:tcPr>
            <w:tcW w:w="7560" w:type="dxa"/>
            <w:vAlign w:val="center"/>
          </w:tcPr>
          <w:p w14:paraId="4395A86D">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浙江开平企业管理咨询有限公司（义乌市雪峰西路968号科创园科技大楼B区4楼）开标室</w:t>
            </w:r>
          </w:p>
        </w:tc>
      </w:tr>
      <w:tr w14:paraId="7777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20" w:type="dxa"/>
            <w:vAlign w:val="center"/>
          </w:tcPr>
          <w:p w14:paraId="60F66BDB">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1670" w:type="dxa"/>
            <w:vAlign w:val="center"/>
          </w:tcPr>
          <w:p w14:paraId="7A7CD389">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投标文件份数</w:t>
            </w:r>
          </w:p>
        </w:tc>
        <w:tc>
          <w:tcPr>
            <w:tcW w:w="7560" w:type="dxa"/>
            <w:vAlign w:val="center"/>
          </w:tcPr>
          <w:p w14:paraId="660459C3">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报价响应文件正本一份，副本四份；</w:t>
            </w:r>
          </w:p>
          <w:p w14:paraId="117F4741">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商务技术响应文件正本一份，副本四份。</w:t>
            </w:r>
          </w:p>
        </w:tc>
      </w:tr>
      <w:tr w14:paraId="367D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20" w:type="dxa"/>
            <w:vAlign w:val="center"/>
          </w:tcPr>
          <w:p w14:paraId="5771D5CA">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1670" w:type="dxa"/>
            <w:vAlign w:val="center"/>
          </w:tcPr>
          <w:p w14:paraId="79619B6D">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递交投标文件时间</w:t>
            </w:r>
          </w:p>
        </w:tc>
        <w:tc>
          <w:tcPr>
            <w:tcW w:w="7560" w:type="dxa"/>
            <w:vAlign w:val="center"/>
          </w:tcPr>
          <w:p w14:paraId="345B23A2">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2026年8月4日09:30</w:t>
            </w:r>
            <w:r>
              <w:rPr>
                <w:rFonts w:hint="eastAsia" w:asciiTheme="minorEastAsia" w:hAnsiTheme="minorEastAsia" w:eastAsiaTheme="minorEastAsia" w:cstheme="minorEastAsia"/>
                <w:color w:val="auto"/>
                <w:sz w:val="24"/>
                <w:highlight w:val="none"/>
              </w:rPr>
              <w:t>止，超出时限概不接收。</w:t>
            </w:r>
          </w:p>
        </w:tc>
      </w:tr>
      <w:tr w14:paraId="771B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0" w:type="dxa"/>
            <w:vAlign w:val="center"/>
          </w:tcPr>
          <w:p w14:paraId="63568C46">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1670" w:type="dxa"/>
            <w:vAlign w:val="center"/>
          </w:tcPr>
          <w:p w14:paraId="019D0E17">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样品递交</w:t>
            </w:r>
          </w:p>
        </w:tc>
        <w:tc>
          <w:tcPr>
            <w:tcW w:w="7560" w:type="dxa"/>
            <w:vAlign w:val="center"/>
          </w:tcPr>
          <w:p w14:paraId="4F1ADC3C">
            <w:pPr>
              <w:pStyle w:val="1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投标人在投标时需提供第三章采购项目内容及技术要求中“八、样品”中所要求提供的样品</w:t>
            </w:r>
          </w:p>
          <w:p w14:paraId="61EE678C">
            <w:pPr>
              <w:pStyle w:val="1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提交投标样品截止时间：</w:t>
            </w:r>
            <w:r>
              <w:rPr>
                <w:rFonts w:hint="eastAsia" w:asciiTheme="minorEastAsia" w:hAnsiTheme="minorEastAsia" w:cstheme="minorEastAsia"/>
                <w:color w:val="auto"/>
                <w:sz w:val="24"/>
                <w:szCs w:val="24"/>
                <w:highlight w:val="none"/>
                <w:lang w:eastAsia="zh-CN"/>
              </w:rPr>
              <w:t>2026年8月4日09:30</w:t>
            </w:r>
          </w:p>
        </w:tc>
      </w:tr>
      <w:tr w14:paraId="6487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0" w:type="dxa"/>
            <w:vAlign w:val="center"/>
          </w:tcPr>
          <w:p w14:paraId="5D0EA61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1670" w:type="dxa"/>
            <w:vAlign w:val="center"/>
          </w:tcPr>
          <w:p w14:paraId="6A63EE9D">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投标截止及开标时间和地点</w:t>
            </w:r>
          </w:p>
        </w:tc>
        <w:tc>
          <w:tcPr>
            <w:tcW w:w="7560" w:type="dxa"/>
            <w:vAlign w:val="center"/>
          </w:tcPr>
          <w:p w14:paraId="562B5D31">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投标截止及开标时间：</w:t>
            </w:r>
            <w:r>
              <w:rPr>
                <w:rFonts w:hint="eastAsia" w:asciiTheme="minorEastAsia" w:hAnsiTheme="minorEastAsia" w:eastAsiaTheme="minorEastAsia" w:cstheme="minorEastAsia"/>
                <w:color w:val="auto"/>
                <w:sz w:val="24"/>
                <w:highlight w:val="none"/>
                <w:lang w:eastAsia="zh-CN"/>
              </w:rPr>
              <w:t>2026年8月4日09:30</w:t>
            </w:r>
          </w:p>
          <w:p w14:paraId="178D39E1">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开标地点：浙江开平企业管理咨询有限公司（义乌市雪峰西路968号科创园科技大楼B区4楼）开标室</w:t>
            </w:r>
          </w:p>
        </w:tc>
      </w:tr>
      <w:tr w14:paraId="364D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20" w:type="dxa"/>
            <w:vAlign w:val="center"/>
          </w:tcPr>
          <w:p w14:paraId="7BC28E46">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1670" w:type="dxa"/>
            <w:vAlign w:val="center"/>
          </w:tcPr>
          <w:p w14:paraId="6D3BE4FC">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评标办法</w:t>
            </w:r>
          </w:p>
        </w:tc>
        <w:tc>
          <w:tcPr>
            <w:tcW w:w="7560" w:type="dxa"/>
            <w:vAlign w:val="center"/>
          </w:tcPr>
          <w:p w14:paraId="35F5E95A">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综合评分法</w:t>
            </w:r>
          </w:p>
        </w:tc>
      </w:tr>
      <w:tr w14:paraId="7CBE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20" w:type="dxa"/>
            <w:vAlign w:val="center"/>
          </w:tcPr>
          <w:p w14:paraId="131CA1AB">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1670" w:type="dxa"/>
            <w:vAlign w:val="center"/>
          </w:tcPr>
          <w:p w14:paraId="0D9C5C0D">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投标保证金</w:t>
            </w:r>
          </w:p>
        </w:tc>
        <w:tc>
          <w:tcPr>
            <w:tcW w:w="7560" w:type="dxa"/>
            <w:vAlign w:val="center"/>
          </w:tcPr>
          <w:p w14:paraId="109E88C8">
            <w:pPr>
              <w:keepNext w:val="0"/>
              <w:keepLines w:val="0"/>
              <w:pageBreakBefore w:val="0"/>
              <w:widowControl w:val="0"/>
              <w:tabs>
                <w:tab w:val="left" w:pos="0"/>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无</w:t>
            </w:r>
          </w:p>
        </w:tc>
      </w:tr>
      <w:tr w14:paraId="503A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20" w:type="dxa"/>
            <w:vAlign w:val="center"/>
          </w:tcPr>
          <w:p w14:paraId="168D12C3">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w:t>
            </w:r>
          </w:p>
        </w:tc>
        <w:tc>
          <w:tcPr>
            <w:tcW w:w="1670" w:type="dxa"/>
            <w:vAlign w:val="center"/>
          </w:tcPr>
          <w:p w14:paraId="6E3D20BB">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w:t>
            </w:r>
          </w:p>
        </w:tc>
        <w:tc>
          <w:tcPr>
            <w:tcW w:w="7560" w:type="dxa"/>
            <w:vAlign w:val="center"/>
          </w:tcPr>
          <w:p w14:paraId="0CAAD661">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无</w:t>
            </w:r>
            <w:r>
              <w:rPr>
                <w:rFonts w:hint="eastAsia" w:asciiTheme="minorEastAsia" w:hAnsiTheme="minorEastAsia" w:eastAsiaTheme="minorEastAsia" w:cstheme="minorEastAsia"/>
                <w:color w:val="auto"/>
                <w:sz w:val="24"/>
                <w:highlight w:val="none"/>
              </w:rPr>
              <w:t>。</w:t>
            </w:r>
          </w:p>
        </w:tc>
      </w:tr>
      <w:tr w14:paraId="4CEF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20" w:type="dxa"/>
            <w:vAlign w:val="center"/>
          </w:tcPr>
          <w:p w14:paraId="1BDE431C">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p>
        </w:tc>
        <w:tc>
          <w:tcPr>
            <w:tcW w:w="1670" w:type="dxa"/>
            <w:vAlign w:val="center"/>
          </w:tcPr>
          <w:p w14:paraId="3FA313C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w:t>
            </w:r>
          </w:p>
        </w:tc>
        <w:tc>
          <w:tcPr>
            <w:tcW w:w="7560" w:type="dxa"/>
            <w:vAlign w:val="center"/>
          </w:tcPr>
          <w:p w14:paraId="37D05523">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分批供货，按月结算。到货验收合格后中标人凭发票、清单、验收单6个月内支付。</w:t>
            </w:r>
          </w:p>
        </w:tc>
      </w:tr>
      <w:tr w14:paraId="34BE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vAlign w:val="center"/>
          </w:tcPr>
          <w:p w14:paraId="1BDEE4D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w:t>
            </w:r>
          </w:p>
        </w:tc>
        <w:tc>
          <w:tcPr>
            <w:tcW w:w="1670" w:type="dxa"/>
            <w:vAlign w:val="center"/>
          </w:tcPr>
          <w:p w14:paraId="7125EF94">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w:t>
            </w:r>
          </w:p>
        </w:tc>
        <w:tc>
          <w:tcPr>
            <w:tcW w:w="7560" w:type="dxa"/>
            <w:vAlign w:val="center"/>
          </w:tcPr>
          <w:p w14:paraId="14E53E39">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招标文件中要求投标人在制作投标文件时，提供的复印件必须根据评审细则对评审的内容复印完整、清晰可辨，否则在评审时以最不利于投标人原则评审。</w:t>
            </w:r>
          </w:p>
        </w:tc>
      </w:tr>
    </w:tbl>
    <w:p w14:paraId="5817F43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注：投标人须知前附表内容与本招标文件后述内容不一致的，以投标须知前附表为准。</w:t>
      </w:r>
      <w:bookmarkEnd w:id="5"/>
    </w:p>
    <w:p w14:paraId="0E4837E0">
      <w:pPr>
        <w:spacing w:line="360" w:lineRule="auto"/>
        <w:ind w:firstLine="480" w:firstLineChars="200"/>
        <w:rPr>
          <w:rFonts w:hint="eastAsia" w:asciiTheme="minorEastAsia" w:hAnsiTheme="minorEastAsia" w:eastAsiaTheme="minorEastAsia" w:cstheme="minorEastAsia"/>
          <w:color w:val="auto"/>
          <w:sz w:val="24"/>
          <w:highlight w:val="none"/>
        </w:rPr>
      </w:pPr>
    </w:p>
    <w:p w14:paraId="698CC3CC">
      <w:pPr>
        <w:spacing w:line="360" w:lineRule="auto"/>
        <w:ind w:firstLine="480" w:firstLineChars="200"/>
        <w:rPr>
          <w:rFonts w:hint="eastAsia" w:asciiTheme="minorEastAsia" w:hAnsiTheme="minorEastAsia" w:eastAsiaTheme="minorEastAsia" w:cstheme="minorEastAsia"/>
          <w:color w:val="auto"/>
          <w:sz w:val="24"/>
          <w:highlight w:val="none"/>
        </w:rPr>
      </w:pPr>
    </w:p>
    <w:p w14:paraId="03BF1E79">
      <w:pPr>
        <w:spacing w:line="360" w:lineRule="auto"/>
        <w:ind w:firstLine="480" w:firstLineChars="200"/>
        <w:rPr>
          <w:rFonts w:hint="eastAsia" w:asciiTheme="minorEastAsia" w:hAnsiTheme="minorEastAsia" w:eastAsiaTheme="minorEastAsia" w:cstheme="minorEastAsia"/>
          <w:color w:val="auto"/>
          <w:sz w:val="24"/>
          <w:highlight w:val="none"/>
        </w:rPr>
      </w:pPr>
    </w:p>
    <w:p w14:paraId="21247A9B">
      <w:pPr>
        <w:spacing w:line="360" w:lineRule="auto"/>
        <w:ind w:firstLine="480" w:firstLineChars="200"/>
        <w:rPr>
          <w:rFonts w:hint="eastAsia" w:asciiTheme="minorEastAsia" w:hAnsiTheme="minorEastAsia" w:eastAsiaTheme="minorEastAsia" w:cstheme="minorEastAsia"/>
          <w:color w:val="auto"/>
          <w:sz w:val="24"/>
          <w:highlight w:val="none"/>
        </w:rPr>
      </w:pPr>
    </w:p>
    <w:p w14:paraId="7077927D">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67A5DB04">
      <w:pPr>
        <w:ind w:firstLine="3960" w:firstLineChars="1100"/>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6"/>
          <w:szCs w:val="36"/>
          <w:highlight w:val="none"/>
        </w:rPr>
        <w:t>投标须知</w:t>
      </w:r>
    </w:p>
    <w:p w14:paraId="54C36816">
      <w:pPr>
        <w:pStyle w:val="4"/>
        <w:pageBreakBefore w:val="0"/>
        <w:kinsoku/>
        <w:wordWrap/>
        <w:overflowPunct/>
        <w:topLinePunct w:val="0"/>
        <w:autoSpaceDE/>
        <w:autoSpaceDN/>
        <w:bidi w:val="0"/>
        <w:adjustRightInd/>
        <w:snapToGrid/>
        <w:spacing w:before="0" w:after="0" w:line="360" w:lineRule="auto"/>
        <w:ind w:left="0" w:leftChars="0" w:firstLine="480" w:firstLineChars="200"/>
        <w:rPr>
          <w:rFonts w:hint="eastAsia" w:asciiTheme="minorEastAsia" w:hAnsiTheme="minorEastAsia" w:eastAsiaTheme="minorEastAsia" w:cstheme="minorEastAsia"/>
          <w:color w:val="auto"/>
          <w:szCs w:val="24"/>
          <w:highlight w:val="none"/>
        </w:rPr>
      </w:pPr>
      <w:bookmarkStart w:id="6" w:name="_Toc362250687"/>
      <w:bookmarkStart w:id="7" w:name="_Toc274303229"/>
      <w:r>
        <w:rPr>
          <w:rFonts w:hint="eastAsia" w:asciiTheme="minorEastAsia" w:hAnsiTheme="minorEastAsia" w:eastAsiaTheme="minorEastAsia" w:cstheme="minorEastAsia"/>
          <w:color w:val="auto"/>
          <w:szCs w:val="24"/>
          <w:highlight w:val="none"/>
        </w:rPr>
        <w:t>一、说明</w:t>
      </w:r>
      <w:bookmarkEnd w:id="6"/>
      <w:bookmarkEnd w:id="7"/>
    </w:p>
    <w:p w14:paraId="0E567EF4">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适用范围</w:t>
      </w:r>
    </w:p>
    <w:p w14:paraId="68A8CB62">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1.1 本招标文件仅适用于本次招标采购所叙述的货物和服务项目。</w:t>
      </w:r>
    </w:p>
    <w:p w14:paraId="0CCB5EAC">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定义</w:t>
      </w:r>
    </w:p>
    <w:p w14:paraId="5F9A1A70">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2.1采购人：系指</w:t>
      </w:r>
      <w:r>
        <w:rPr>
          <w:rFonts w:hint="eastAsia" w:asciiTheme="minorEastAsia" w:hAnsiTheme="minorEastAsia" w:eastAsiaTheme="minorEastAsia" w:cstheme="minorEastAsia"/>
          <w:color w:val="auto"/>
          <w:sz w:val="24"/>
          <w:szCs w:val="24"/>
          <w:highlight w:val="none"/>
          <w:lang w:eastAsia="zh-CN"/>
        </w:rPr>
        <w:t>义乌市苏溪镇中心卫生院</w:t>
      </w:r>
      <w:r>
        <w:rPr>
          <w:rFonts w:hint="eastAsia" w:asciiTheme="minorEastAsia" w:hAnsiTheme="minorEastAsia" w:eastAsiaTheme="minorEastAsia" w:cstheme="minorEastAsia"/>
          <w:color w:val="auto"/>
          <w:sz w:val="24"/>
          <w:szCs w:val="24"/>
          <w:highlight w:val="none"/>
        </w:rPr>
        <w:t>。</w:t>
      </w:r>
    </w:p>
    <w:p w14:paraId="126E2E68">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2.2招标代理机构：系指浙江开平企业管理咨询有限公司。</w:t>
      </w:r>
    </w:p>
    <w:p w14:paraId="57CA07E6">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2.3投标人：系指符合采购公告要求的投标供应商。</w:t>
      </w:r>
    </w:p>
    <w:p w14:paraId="51A2411A">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2.4服务：</w:t>
      </w:r>
      <w:r>
        <w:rPr>
          <w:rFonts w:hint="eastAsia" w:asciiTheme="minorEastAsia" w:hAnsiTheme="minorEastAsia" w:eastAsiaTheme="minorEastAsia" w:cstheme="minorEastAsia"/>
          <w:b/>
          <w:bCs/>
          <w:color w:val="auto"/>
          <w:kern w:val="0"/>
          <w:highlight w:val="none"/>
        </w:rPr>
        <w:t>系指</w:t>
      </w:r>
      <w:r>
        <w:rPr>
          <w:rFonts w:hint="eastAsia" w:asciiTheme="minorEastAsia" w:hAnsiTheme="minorEastAsia" w:eastAsiaTheme="minorEastAsia" w:cstheme="minorEastAsia"/>
          <w:b/>
          <w:color w:val="auto"/>
          <w:highlight w:val="none"/>
        </w:rPr>
        <w:t>招标文件规定投标人须承担的运输、技术支持、培训、维修保养及其他类似的服务</w:t>
      </w:r>
      <w:r>
        <w:rPr>
          <w:rFonts w:hint="eastAsia" w:asciiTheme="minorEastAsia" w:hAnsiTheme="minorEastAsia" w:eastAsiaTheme="minorEastAsia" w:cstheme="minorEastAsia"/>
          <w:b/>
          <w:bCs/>
          <w:color w:val="auto"/>
          <w:highlight w:val="none"/>
        </w:rPr>
        <w:t>。</w:t>
      </w:r>
    </w:p>
    <w:p w14:paraId="39CBF977">
      <w:pPr>
        <w:pStyle w:val="15"/>
        <w:pageBreakBefore w:val="0"/>
        <w:kinsoku/>
        <w:wordWrap/>
        <w:overflowPunct/>
        <w:topLinePunct w:val="0"/>
        <w:autoSpaceDE/>
        <w:autoSpaceDN/>
        <w:bidi w:val="0"/>
        <w:adjustRightInd/>
        <w:snapToGrid/>
        <w:spacing w:after="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2.5货物：系指按招标文件规定投标人须向采购人提供的一切材料、设备、机械、仪器仪表、工具及其他有关技术资料和文字材料。</w:t>
      </w:r>
    </w:p>
    <w:p w14:paraId="22EFB814">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2.6甲方：即采购人，在招投标阶段称为采购人，在签订和执行合同阶段称为甲方。</w:t>
      </w:r>
    </w:p>
    <w:p w14:paraId="33EBCA59">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2.7乙方：在招投标阶段称为投标人，中标后在签订和执行合同阶段称为乙方。</w:t>
      </w:r>
    </w:p>
    <w:p w14:paraId="25CBE93B">
      <w:pPr>
        <w:pStyle w:val="15"/>
        <w:pageBreakBefore w:val="0"/>
        <w:kinsoku/>
        <w:wordWrap/>
        <w:overflowPunct/>
        <w:topLinePunct w:val="0"/>
        <w:autoSpaceDE/>
        <w:autoSpaceDN/>
        <w:bidi w:val="0"/>
        <w:adjustRightInd/>
        <w:snapToGrid/>
        <w:spacing w:after="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2.8“原产地”是指货物开采、生长或生产或提供有关服务的来源地。</w:t>
      </w:r>
    </w:p>
    <w:p w14:paraId="5973CB95">
      <w:pPr>
        <w:pStyle w:val="15"/>
        <w:pageBreakBefore w:val="0"/>
        <w:kinsoku/>
        <w:wordWrap/>
        <w:overflowPunct/>
        <w:topLinePunct w:val="0"/>
        <w:autoSpaceDE/>
        <w:autoSpaceDN/>
        <w:bidi w:val="0"/>
        <w:adjustRightInd/>
        <w:snapToGrid/>
        <w:spacing w:after="0" w:line="360" w:lineRule="auto"/>
        <w:ind w:left="0" w:leftChars="0"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2.9“★”标记系指必须满足不能负偏离或必须应答的条款。</w:t>
      </w:r>
    </w:p>
    <w:p w14:paraId="438FD2D1">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w:t>
      </w:r>
      <w:r>
        <w:rPr>
          <w:rFonts w:hint="eastAsia" w:asciiTheme="minorEastAsia" w:hAnsiTheme="minorEastAsia" w:eastAsiaTheme="minorEastAsia" w:cstheme="minorEastAsia"/>
          <w:b/>
          <w:color w:val="auto"/>
          <w:highlight w:val="none"/>
          <w:lang w:val="en-US" w:eastAsia="zh-CN"/>
        </w:rPr>
        <w:t>.</w:t>
      </w:r>
      <w:r>
        <w:rPr>
          <w:rFonts w:hint="eastAsia" w:asciiTheme="minorEastAsia" w:hAnsiTheme="minorEastAsia" w:eastAsiaTheme="minorEastAsia" w:cstheme="minorEastAsia"/>
          <w:b/>
          <w:color w:val="auto"/>
          <w:highlight w:val="none"/>
        </w:rPr>
        <w:t>合格的投标人</w:t>
      </w:r>
    </w:p>
    <w:p w14:paraId="7310B68C">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采购公告中要求的条件。</w:t>
      </w:r>
    </w:p>
    <w:p w14:paraId="7211C355">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4</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保证</w:t>
      </w:r>
    </w:p>
    <w:p w14:paraId="42BEBBCA">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4.1投标单位应保证所提交给招标机构和采购人的资料和数据是真实的。</w:t>
      </w:r>
    </w:p>
    <w:p w14:paraId="429E5ADB">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招标投标费用</w:t>
      </w:r>
    </w:p>
    <w:p w14:paraId="543D8B85">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5.1不论投标过程中的做法和结果如何，投标方应承担所有与投标有关的全部费用。采购人和采购代理机构在任何情况下均无义务和责任承担上述这些费用。</w:t>
      </w:r>
    </w:p>
    <w:p w14:paraId="33EB6B97">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现场勘查</w:t>
      </w:r>
    </w:p>
    <w:p w14:paraId="0180C90D">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highlight w:val="none"/>
        </w:rPr>
        <w:t>采购方不统一组织投标方前往项目实施场地踏勘，根据项目实际投标需求，投标方可自行前往项目实施场地进行现场踏勘，以获取编制投标文件所需资料，如投标方因未现场踏勘原因导致投标文件出现错误或遗漏的，由投标方自行承担责任</w:t>
      </w:r>
      <w:r>
        <w:rPr>
          <w:rFonts w:hint="eastAsia" w:asciiTheme="minorEastAsia" w:hAnsiTheme="minorEastAsia" w:eastAsiaTheme="minorEastAsia" w:cstheme="minorEastAsia"/>
          <w:color w:val="auto"/>
          <w:sz w:val="24"/>
          <w:szCs w:val="24"/>
          <w:highlight w:val="none"/>
        </w:rPr>
        <w:t>。</w:t>
      </w:r>
    </w:p>
    <w:p w14:paraId="60BE8D8C">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6.2投标单位在考察过程中发生的各类事件及所发生的各项费用，均由投标单位自行承担。采购人和代理机构概不负责。</w:t>
      </w:r>
    </w:p>
    <w:p w14:paraId="2CC6C939">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6.3采购人向投标单位提供的有关现场的数据和资料，是采购人现有的能被投标人利用的资料，采购人对投标人据此做出的任何推论、理解和结论不负责任。</w:t>
      </w:r>
    </w:p>
    <w:p w14:paraId="103CADC6">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6.4现场踏勘完毕，将认为投标人已了解现场情况，并充分理解了为之所承担的风险、义务和责任。</w:t>
      </w:r>
    </w:p>
    <w:p w14:paraId="13D6A3F5">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lang w:val="en-US" w:eastAsia="zh-CN"/>
        </w:rPr>
        <w:t>.</w:t>
      </w:r>
      <w:r>
        <w:rPr>
          <w:rFonts w:hint="eastAsia" w:asciiTheme="minorEastAsia" w:hAnsiTheme="minorEastAsia" w:eastAsiaTheme="minorEastAsia" w:cstheme="minorEastAsia"/>
          <w:b/>
          <w:color w:val="auto"/>
          <w:sz w:val="24"/>
          <w:highlight w:val="none"/>
        </w:rPr>
        <w:t>联合体投标</w:t>
      </w:r>
    </w:p>
    <w:p w14:paraId="154888BB">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本项目不接受联合体投标。</w:t>
      </w:r>
    </w:p>
    <w:p w14:paraId="1A5D29B3">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w:t>
      </w:r>
      <w:r>
        <w:rPr>
          <w:rFonts w:hint="eastAsia" w:asciiTheme="minorEastAsia" w:hAnsiTheme="minorEastAsia" w:eastAsiaTheme="minorEastAsia" w:cstheme="minorEastAsia"/>
          <w:b/>
          <w:color w:val="auto"/>
          <w:sz w:val="24"/>
          <w:highlight w:val="none"/>
          <w:lang w:val="en-US" w:eastAsia="zh-CN"/>
        </w:rPr>
        <w:t>.</w:t>
      </w:r>
      <w:r>
        <w:rPr>
          <w:rFonts w:hint="eastAsia" w:asciiTheme="minorEastAsia" w:hAnsiTheme="minorEastAsia" w:eastAsiaTheme="minorEastAsia" w:cstheme="minorEastAsia"/>
          <w:b/>
          <w:color w:val="auto"/>
          <w:sz w:val="24"/>
          <w:highlight w:val="none"/>
        </w:rPr>
        <w:t>转包与分包</w:t>
      </w:r>
    </w:p>
    <w:p w14:paraId="25F7E781">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8.1本合同范</w:t>
      </w:r>
      <w:r>
        <w:rPr>
          <w:rFonts w:hint="eastAsia" w:asciiTheme="minorEastAsia" w:hAnsiTheme="minorEastAsia" w:eastAsiaTheme="minorEastAsia" w:cstheme="minorEastAsia"/>
          <w:color w:val="auto"/>
          <w:sz w:val="24"/>
          <w:highlight w:val="none"/>
          <w:lang w:eastAsia="zh-CN"/>
        </w:rPr>
        <w:t>围内</w:t>
      </w:r>
      <w:r>
        <w:rPr>
          <w:rFonts w:hint="eastAsia" w:asciiTheme="minorEastAsia" w:hAnsiTheme="minorEastAsia" w:eastAsiaTheme="minorEastAsia" w:cstheme="minorEastAsia"/>
          <w:color w:val="auto"/>
          <w:sz w:val="24"/>
          <w:highlight w:val="none"/>
        </w:rPr>
        <w:t>的货物，应由乙方直接供应，不得转让他人供应；</w:t>
      </w:r>
    </w:p>
    <w:p w14:paraId="60E55F52">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8.2乙方不得将本合同范</w:t>
      </w:r>
      <w:r>
        <w:rPr>
          <w:rFonts w:hint="eastAsia" w:asciiTheme="minorEastAsia" w:hAnsiTheme="minorEastAsia" w:eastAsiaTheme="minorEastAsia" w:cstheme="minorEastAsia"/>
          <w:color w:val="auto"/>
          <w:sz w:val="24"/>
          <w:highlight w:val="none"/>
          <w:lang w:eastAsia="zh-CN"/>
        </w:rPr>
        <w:t>围内</w:t>
      </w:r>
      <w:r>
        <w:rPr>
          <w:rFonts w:hint="eastAsia" w:asciiTheme="minorEastAsia" w:hAnsiTheme="minorEastAsia" w:eastAsiaTheme="minorEastAsia" w:cstheme="minorEastAsia"/>
          <w:color w:val="auto"/>
          <w:sz w:val="24"/>
          <w:highlight w:val="none"/>
        </w:rPr>
        <w:t>的货物全部或部分分包给他人供应；</w:t>
      </w:r>
    </w:p>
    <w:p w14:paraId="35450A90">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8.3如有转让和分包行为，甲方将解除合同，并追究乙方的违约责任。</w:t>
      </w:r>
    </w:p>
    <w:p w14:paraId="32B963DB">
      <w:pPr>
        <w:pStyle w:val="4"/>
        <w:pageBreakBefore w:val="0"/>
        <w:kinsoku/>
        <w:wordWrap/>
        <w:overflowPunct/>
        <w:topLinePunct w:val="0"/>
        <w:autoSpaceDE/>
        <w:autoSpaceDN/>
        <w:bidi w:val="0"/>
        <w:adjustRightInd/>
        <w:snapToGrid/>
        <w:spacing w:before="0" w:after="0" w:line="360" w:lineRule="auto"/>
        <w:ind w:left="0" w:leftChars="0" w:firstLine="480" w:firstLineChars="200"/>
        <w:rPr>
          <w:rFonts w:hint="eastAsia" w:asciiTheme="minorEastAsia" w:hAnsiTheme="minorEastAsia" w:eastAsiaTheme="minorEastAsia" w:cstheme="minorEastAsia"/>
          <w:color w:val="auto"/>
          <w:szCs w:val="24"/>
          <w:highlight w:val="none"/>
        </w:rPr>
      </w:pPr>
      <w:bookmarkStart w:id="8" w:name="_Toc362250688"/>
      <w:bookmarkStart w:id="9" w:name="_Toc274303230"/>
      <w:r>
        <w:rPr>
          <w:rFonts w:hint="eastAsia" w:asciiTheme="minorEastAsia" w:hAnsiTheme="minorEastAsia" w:eastAsiaTheme="minorEastAsia" w:cstheme="minorEastAsia"/>
          <w:color w:val="auto"/>
          <w:szCs w:val="24"/>
          <w:highlight w:val="none"/>
        </w:rPr>
        <w:t>二、招标文件</w:t>
      </w:r>
      <w:bookmarkEnd w:id="8"/>
      <w:bookmarkEnd w:id="9"/>
    </w:p>
    <w:p w14:paraId="56437173">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eastAsiaTheme="minorEastAsia" w:cstheme="minorEastAsia"/>
          <w:b/>
          <w:bCs/>
          <w:color w:val="auto"/>
          <w:sz w:val="24"/>
          <w:highlight w:val="none"/>
        </w:rPr>
        <w:t>招标文件的组成</w:t>
      </w:r>
    </w:p>
    <w:p w14:paraId="26DE55FF">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9.1招标文件包括下列内容：</w:t>
      </w:r>
    </w:p>
    <w:p w14:paraId="7C4D7280">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采购公告</w:t>
      </w:r>
    </w:p>
    <w:p w14:paraId="46AF4ABD">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投标须知和投标须知前附表</w:t>
      </w:r>
    </w:p>
    <w:p w14:paraId="17021497">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招标项目要求</w:t>
      </w:r>
    </w:p>
    <w:p w14:paraId="40C5303D">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开标、评标和定标</w:t>
      </w:r>
    </w:p>
    <w:p w14:paraId="76AD600F">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投标文件的有效性</w:t>
      </w:r>
    </w:p>
    <w:p w14:paraId="58E37875">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第六章 评标办法</w:t>
      </w:r>
    </w:p>
    <w:p w14:paraId="3688FFE0">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第七章 合同主要条款</w:t>
      </w:r>
    </w:p>
    <w:p w14:paraId="6BEA72EE">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第八章 投标文件部分格式</w:t>
      </w:r>
    </w:p>
    <w:p w14:paraId="6B9CF0D5">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9.2除9.1内容外，采购人在提交投标文件截止时间前，以书面形式（或网站发布）发出的对招标文件的澄清或修改内容，均为招标文件的组成部分，对采购人和投标人起约束作用。</w:t>
      </w:r>
    </w:p>
    <w:p w14:paraId="5D377501">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9.3上述所列9.1及9.2条内容均以书面文件（若无书面文件发布的，则以网上发布的电子文件）为准，采购人（招标代理机构）的任何工作人员对投标人所作的任何口头解释、介绍、答复，对采购人和投标人无任何约束力。</w:t>
      </w:r>
    </w:p>
    <w:p w14:paraId="50D98746">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9.4投标单位应认真阅读投标须知、合同条件、规定格式、项目要求等招标文件所有的内容。如果投标单位的投标文件不能符合招标文件的要求，责任由投标单位自负。实质上不响应招标文件要求的投标文件将被拒绝。</w:t>
      </w:r>
    </w:p>
    <w:p w14:paraId="2D364138">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eastAsiaTheme="minorEastAsia" w:cstheme="minorEastAsia"/>
          <w:b/>
          <w:bCs/>
          <w:color w:val="auto"/>
          <w:sz w:val="24"/>
          <w:highlight w:val="none"/>
        </w:rPr>
        <w:t>招标文件的澄清</w:t>
      </w:r>
    </w:p>
    <w:p w14:paraId="4A1D0364">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10.1投标人若对招标文件有任何疑问，应于前附表规定的时间以书面形式送（传真）至浙江开平企业管理咨询有限公司（义乌市雪峰西路968号科创园科技大楼B区4楼）向采购人和代理机构提出。</w:t>
      </w:r>
    </w:p>
    <w:p w14:paraId="6513044D">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w:t>
      </w:r>
      <w:r>
        <w:rPr>
          <w:rFonts w:hint="eastAsia" w:asciiTheme="minorEastAsia" w:hAnsiTheme="minorEastAsia" w:eastAsiaTheme="minorEastAsia" w:cstheme="minorEastAsia"/>
          <w:bCs/>
          <w:color w:val="auto"/>
          <w:sz w:val="24"/>
          <w:szCs w:val="24"/>
          <w:highlight w:val="none"/>
        </w:rPr>
        <w:t>无论是采购人根据需要主动对招标文件进行必要澄清，或是根据投标人的要求对招标文件作出澄清，采购人都将以书面形式答复；答复内容是招标文件的组成部分，同时将书面澄清文件向所有投标人发送</w:t>
      </w:r>
      <w:r>
        <w:rPr>
          <w:rFonts w:hint="eastAsia" w:asciiTheme="minorEastAsia" w:hAnsiTheme="minorEastAsia" w:eastAsiaTheme="minorEastAsia" w:cstheme="minorEastAsia"/>
          <w:color w:val="auto"/>
          <w:sz w:val="24"/>
          <w:szCs w:val="24"/>
          <w:highlight w:val="none"/>
        </w:rPr>
        <w:t>。</w:t>
      </w:r>
    </w:p>
    <w:p w14:paraId="1353C2C9">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10.3投标单位在前附表规定时间未提交疑问的，视作默认对本次招标过程中招标文件无异议，采购人对其提出的问题可以不作解释。</w:t>
      </w:r>
    </w:p>
    <w:p w14:paraId="57B4A5C6">
      <w:pPr>
        <w:pageBreakBefore w:val="0"/>
        <w:kinsoku/>
        <w:wordWrap/>
        <w:overflowPunct/>
        <w:topLinePunct w:val="0"/>
        <w:autoSpaceDE/>
        <w:autoSpaceDN/>
        <w:bidi w:val="0"/>
        <w:adjustRightInd/>
        <w:snapToGrid/>
        <w:spacing w:line="360" w:lineRule="auto"/>
        <w:ind w:left="0" w:leftChars="0" w:firstLine="480" w:firstLineChars="200"/>
        <w:textAlignment w:val="baseline"/>
        <w:rPr>
          <w:rFonts w:hint="eastAsia" w:asciiTheme="minorEastAsia" w:hAnsiTheme="minorEastAsia" w:eastAsiaTheme="minorEastAsia" w:cstheme="minorEastAsia"/>
          <w:color w:val="auto"/>
          <w:spacing w:val="-4"/>
          <w:sz w:val="24"/>
          <w:highlight w:val="none"/>
        </w:rPr>
      </w:pPr>
      <w:r>
        <w:rPr>
          <w:rFonts w:hint="eastAsia" w:asciiTheme="minorEastAsia" w:hAnsiTheme="minorEastAsia" w:eastAsiaTheme="minorEastAsia" w:cstheme="minorEastAsia"/>
          <w:color w:val="auto"/>
          <w:sz w:val="24"/>
          <w:highlight w:val="none"/>
        </w:rPr>
        <w:t>10.4</w:t>
      </w:r>
      <w:r>
        <w:rPr>
          <w:rFonts w:hint="eastAsia" w:asciiTheme="minorEastAsia" w:hAnsiTheme="minorEastAsia" w:eastAsiaTheme="minorEastAsia" w:cstheme="minorEastAsia"/>
          <w:color w:val="auto"/>
          <w:spacing w:val="-4"/>
          <w:sz w:val="24"/>
          <w:highlight w:val="none"/>
        </w:rPr>
        <w:t>招标文件澄清、修改、补充等内容均以书面形式明确的内容为准。当招标文件、招标文件的澄清、修改、补充等在同一内容的表述上不一致时，以最后发出的书面文件为准。</w:t>
      </w:r>
    </w:p>
    <w:p w14:paraId="53F8EC2C">
      <w:pPr>
        <w:pageBreakBefore w:val="0"/>
        <w:kinsoku/>
        <w:wordWrap/>
        <w:overflowPunct/>
        <w:topLinePunct w:val="0"/>
        <w:autoSpaceDE/>
        <w:autoSpaceDN/>
        <w:bidi w:val="0"/>
        <w:adjustRightInd/>
        <w:snapToGrid/>
        <w:spacing w:line="360" w:lineRule="auto"/>
        <w:ind w:left="0" w:leftChars="0" w:firstLine="464" w:firstLineChars="20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bCs/>
          <w:color w:val="auto"/>
          <w:spacing w:val="-4"/>
          <w:sz w:val="24"/>
          <w:highlight w:val="none"/>
        </w:rPr>
        <w:t>10.5</w:t>
      </w:r>
      <w:r>
        <w:rPr>
          <w:rFonts w:hint="eastAsia" w:asciiTheme="minorEastAsia" w:hAnsiTheme="minorEastAsia" w:eastAsiaTheme="minorEastAsia" w:cstheme="minorEastAsia"/>
          <w:color w:val="auto"/>
          <w:spacing w:val="-6"/>
          <w:sz w:val="24"/>
          <w:highlight w:val="none"/>
        </w:rPr>
        <w:t>采购人及招标代理机构工作人员向投标人所作的任何口头答复或电话通知一律无效。</w:t>
      </w:r>
    </w:p>
    <w:p w14:paraId="0884E75B">
      <w:pPr>
        <w:pageBreakBefore w:val="0"/>
        <w:kinsoku/>
        <w:wordWrap/>
        <w:overflowPunct/>
        <w:topLinePunct w:val="0"/>
        <w:autoSpaceDE/>
        <w:autoSpaceDN/>
        <w:bidi w:val="0"/>
        <w:adjustRightInd/>
        <w:snapToGrid/>
        <w:spacing w:line="360" w:lineRule="auto"/>
        <w:ind w:left="0" w:leftChars="0" w:firstLine="464" w:firstLineChars="200"/>
        <w:textAlignment w:val="baseline"/>
        <w:rPr>
          <w:rFonts w:hint="eastAsia" w:asciiTheme="minorEastAsia" w:hAnsiTheme="minorEastAsia" w:eastAsiaTheme="minorEastAsia" w:cstheme="minorEastAsia"/>
          <w:color w:val="auto"/>
          <w:spacing w:val="-4"/>
          <w:sz w:val="24"/>
          <w:highlight w:val="none"/>
        </w:rPr>
      </w:pPr>
      <w:r>
        <w:rPr>
          <w:rFonts w:hint="eastAsia" w:asciiTheme="minorEastAsia" w:hAnsiTheme="minorEastAsia" w:eastAsiaTheme="minorEastAsia" w:cstheme="minorEastAsia"/>
          <w:color w:val="auto"/>
          <w:spacing w:val="-4"/>
          <w:sz w:val="24"/>
          <w:highlight w:val="none"/>
        </w:rPr>
        <w:t>10.6投标人应仔细阅读和检查招标文件的全部内容。如发现缺页或附件不全，应及时向采购人提出，以便补齐。如有疑问，应在投标人须知前附表规定的方式及时间前书面或传真形式要求澄清问题的文件，要求采购人对招标文件予以澄清。否则，由此引起的损失由投标人自己承担。</w:t>
      </w:r>
    </w:p>
    <w:p w14:paraId="0F7F290E">
      <w:pPr>
        <w:pStyle w:val="4"/>
        <w:pageBreakBefore w:val="0"/>
        <w:kinsoku/>
        <w:wordWrap/>
        <w:overflowPunct/>
        <w:topLinePunct w:val="0"/>
        <w:autoSpaceDE/>
        <w:autoSpaceDN/>
        <w:bidi w:val="0"/>
        <w:adjustRightInd/>
        <w:snapToGrid/>
        <w:spacing w:before="0" w:after="0" w:line="360" w:lineRule="auto"/>
        <w:ind w:left="0" w:leftChars="0" w:firstLine="480" w:firstLineChars="200"/>
        <w:rPr>
          <w:rFonts w:hint="eastAsia" w:asciiTheme="minorEastAsia" w:hAnsiTheme="minorEastAsia" w:eastAsiaTheme="minorEastAsia" w:cstheme="minorEastAsia"/>
          <w:color w:val="auto"/>
          <w:szCs w:val="24"/>
          <w:highlight w:val="none"/>
        </w:rPr>
      </w:pPr>
      <w:bookmarkStart w:id="10" w:name="_Toc274303231"/>
      <w:bookmarkStart w:id="11" w:name="_Toc362250689"/>
      <w:r>
        <w:rPr>
          <w:rFonts w:hint="eastAsia" w:asciiTheme="minorEastAsia" w:hAnsiTheme="minorEastAsia" w:eastAsiaTheme="minorEastAsia" w:cstheme="minorEastAsia"/>
          <w:color w:val="auto"/>
          <w:szCs w:val="24"/>
          <w:highlight w:val="none"/>
        </w:rPr>
        <w:t>三、投标文件</w:t>
      </w:r>
      <w:bookmarkEnd w:id="10"/>
      <w:bookmarkEnd w:id="11"/>
    </w:p>
    <w:p w14:paraId="65EC6CFC">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11</w:t>
      </w:r>
      <w:r>
        <w:rPr>
          <w:rFonts w:hint="eastAsia" w:asciiTheme="minorEastAsia" w:hAnsiTheme="minorEastAsia" w:eastAsiaTheme="minorEastAsia" w:cstheme="minorEastAsia"/>
          <w:b/>
          <w:color w:val="auto"/>
          <w:sz w:val="24"/>
          <w:highlight w:val="none"/>
          <w:lang w:val="en-US" w:eastAsia="zh-CN"/>
        </w:rPr>
        <w:t>.</w:t>
      </w:r>
      <w:r>
        <w:rPr>
          <w:rFonts w:hint="eastAsia" w:asciiTheme="minorEastAsia" w:hAnsiTheme="minorEastAsia" w:eastAsiaTheme="minorEastAsia" w:cstheme="minorEastAsia"/>
          <w:b/>
          <w:bCs/>
          <w:color w:val="auto"/>
          <w:sz w:val="24"/>
          <w:highlight w:val="none"/>
        </w:rPr>
        <w:t>投标文件的语言及度量衡单位</w:t>
      </w:r>
    </w:p>
    <w:p w14:paraId="02C03C30">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11.1投标文件和与投标有关的所有文件均应使用汉语。</w:t>
      </w:r>
    </w:p>
    <w:p w14:paraId="3FD89530">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11.2除工程规范另有规定外，投标文件使用的度量衡单位，均采用中华人民共和国法定计量单位。</w:t>
      </w:r>
    </w:p>
    <w:p w14:paraId="7141CE42">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12</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eastAsiaTheme="minorEastAsia" w:cstheme="minorEastAsia"/>
          <w:b/>
          <w:bCs/>
          <w:color w:val="auto"/>
          <w:sz w:val="24"/>
          <w:highlight w:val="none"/>
        </w:rPr>
        <w:t>对投标文件的要求</w:t>
      </w:r>
    </w:p>
    <w:p w14:paraId="5796C86A">
      <w:pPr>
        <w:pStyle w:val="22"/>
        <w:pageBreakBefore w:val="0"/>
        <w:kinsoku/>
        <w:wordWrap/>
        <w:overflowPunct/>
        <w:topLinePunct w:val="0"/>
        <w:autoSpaceDE/>
        <w:autoSpaceDN/>
        <w:bidi w:val="0"/>
        <w:adjustRightInd/>
        <w:snapToGrid/>
        <w:spacing w:after="0" w:line="360" w:lineRule="auto"/>
        <w:ind w:left="0" w:leftChars="0" w:firstLine="480" w:firstLineChars="20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12.1投标人应仔细阅读招标文件，了解招标文件的要求，在完全了解招标项目的商务技术要求和报价要求后，编制投标文件。</w:t>
      </w:r>
    </w:p>
    <w:p w14:paraId="12C0A204">
      <w:pPr>
        <w:pStyle w:val="11"/>
        <w:pageBreakBefore w:val="0"/>
        <w:kinsoku/>
        <w:wordWrap/>
        <w:overflowPunct/>
        <w:topLinePunct w:val="0"/>
        <w:autoSpaceDE/>
        <w:autoSpaceDN/>
        <w:bidi w:val="0"/>
        <w:adjustRightInd/>
        <w:snapToGrid/>
        <w:spacing w:line="360" w:lineRule="auto"/>
        <w:ind w:left="0" w:leftChars="0"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12.2编制投标文件时，投标人对招标文件的各个要求须逐项逐条作出实质性回答，</w:t>
      </w:r>
      <w:r>
        <w:rPr>
          <w:rFonts w:hint="eastAsia" w:asciiTheme="minorEastAsia" w:hAnsiTheme="minorEastAsia" w:eastAsiaTheme="minorEastAsia" w:cstheme="minorEastAsia"/>
          <w:color w:val="auto"/>
          <w:highlight w:val="none"/>
        </w:rPr>
        <w:t>若有偏离的均应在规范偏离表中提出。</w:t>
      </w:r>
      <w:r>
        <w:rPr>
          <w:rFonts w:hint="eastAsia" w:asciiTheme="minorEastAsia" w:hAnsiTheme="minorEastAsia" w:eastAsiaTheme="minorEastAsia" w:cstheme="minorEastAsia"/>
          <w:color w:val="auto"/>
          <w:kern w:val="0"/>
          <w:highlight w:val="none"/>
        </w:rPr>
        <w:t>顺序编号清楚，可用描述性文字及说明材料（说明材料必须加盖公章或授权代表签章）。</w:t>
      </w:r>
    </w:p>
    <w:p w14:paraId="3F24D43C">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 在招标文件对商务技术要求中，投标方必须充分应答和满足用户的强制性的需求，如“★”等，否则将导致废标。</w:t>
      </w:r>
    </w:p>
    <w:p w14:paraId="15C71A13">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12.4</w:t>
      </w:r>
      <w:r>
        <w:rPr>
          <w:rFonts w:hint="eastAsia" w:asciiTheme="minorEastAsia" w:hAnsiTheme="minorEastAsia" w:eastAsiaTheme="minorEastAsia" w:cstheme="minorEastAsia"/>
          <w:bCs/>
          <w:color w:val="auto"/>
          <w:sz w:val="24"/>
          <w:highlight w:val="none"/>
        </w:rPr>
        <w:t>投标人应提供说明其拟提供的货物及其辅助服务的合格性及符合招标文件规定的文件，作为其投标文件的一部分。</w:t>
      </w:r>
    </w:p>
    <w:p w14:paraId="3FE9EEEC">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12.5</w:t>
      </w:r>
      <w:r>
        <w:rPr>
          <w:rFonts w:hint="eastAsia" w:asciiTheme="minorEastAsia" w:hAnsiTheme="minorEastAsia" w:eastAsiaTheme="minorEastAsia" w:cstheme="minorEastAsia"/>
          <w:color w:val="auto"/>
          <w:sz w:val="24"/>
          <w:highlight w:val="none"/>
        </w:rPr>
        <w:t>货物简要说明中对货物和服务原产地的说明，并应有原产地证书资料，进口货物必须有进口产品的商检资料、报关单等资料。</w:t>
      </w:r>
    </w:p>
    <w:p w14:paraId="57F921AC">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12.6编制的投标文件对招标文件中有关条款未提出异议的，均被视为接受和同意。</w:t>
      </w:r>
    </w:p>
    <w:p w14:paraId="16279A63">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eastAsiaTheme="minorEastAsia" w:cstheme="minorEastAsia"/>
          <w:b/>
          <w:bCs/>
          <w:color w:val="auto"/>
          <w:sz w:val="24"/>
          <w:highlight w:val="none"/>
        </w:rPr>
        <w:t>投标文件的组成</w:t>
      </w:r>
    </w:p>
    <w:p w14:paraId="0A85D4E5">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 招标文件“投标文件部分格式”所列的内容、格式及其投标人认为有必要提供的其他文件。</w:t>
      </w:r>
    </w:p>
    <w:p w14:paraId="145DCD1E">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★13.2 递交的投标文件应分为商务技术响应文件和报价响应文件，商务技术响应文件为除报价响应文件外的所有内容，且商务技术响应文件和报价响应文件分开密封</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u w:val="single"/>
        </w:rPr>
        <w:t>商务技术响应文件（含资信与服务）不得含投标报价</w:t>
      </w:r>
      <w:r>
        <w:rPr>
          <w:rFonts w:hint="eastAsia" w:asciiTheme="minorEastAsia" w:hAnsiTheme="minorEastAsia" w:eastAsiaTheme="minorEastAsia" w:cstheme="minorEastAsia"/>
          <w:color w:val="auto"/>
          <w:sz w:val="24"/>
          <w:highlight w:val="none"/>
        </w:rPr>
        <w:t>。</w:t>
      </w:r>
    </w:p>
    <w:p w14:paraId="08A9EAD4">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highlight w:val="none"/>
        </w:rPr>
        <w:t>13.3商务技术响应文件：（应装订成册，复印件需加盖单位公章，提供的所有证书应在有效期内）</w:t>
      </w:r>
    </w:p>
    <w:p w14:paraId="31FD1A24">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（1）投标单位情况介绍；</w:t>
      </w:r>
    </w:p>
    <w:p w14:paraId="57F7F94F">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（2）有效的投标方营业执照复印件；</w:t>
      </w:r>
    </w:p>
    <w:p w14:paraId="38B2C5DE">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（3）法定代表人资格申明书、法定代表人身份证复印件；</w:t>
      </w:r>
    </w:p>
    <w:p w14:paraId="0CB3054E">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）授权委托书、授权代表身份证复印件；（如法定代表人出席投标会的不须提供）；</w:t>
      </w:r>
    </w:p>
    <w:p w14:paraId="6AD66D8F">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（5）药品生产许可证；</w:t>
      </w:r>
    </w:p>
    <w:p w14:paraId="43050275">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（6）提供自202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年1月1日起到中标公告期结束前无行贿犯罪记录（查询结果中国裁判文书网以网站页面显示内容为准）；</w:t>
      </w:r>
    </w:p>
    <w:p w14:paraId="0DDEDDD3">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（7）中药配方颗粒智能中药房设计、管理及运营方案；</w:t>
      </w:r>
    </w:p>
    <w:p w14:paraId="5EA74451">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（8）投标人中药配方颗粒产品质量保证及质量控制措施；</w:t>
      </w:r>
    </w:p>
    <w:p w14:paraId="26A6F756">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（9）承诺书；</w:t>
      </w:r>
    </w:p>
    <w:p w14:paraId="490C6950">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（10）招标文件第三章“招标项目内容及技术要求”中规定需投标人作出说明或描述的；</w:t>
      </w:r>
    </w:p>
    <w:p w14:paraId="76B75B15">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（11）投标人认为须提供的其他资料。</w:t>
      </w:r>
    </w:p>
    <w:p w14:paraId="7A9086BE">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13.4报价响应文件应包括下列内容（并不仅限于以下）并应装订成册：</w:t>
      </w:r>
    </w:p>
    <w:p w14:paraId="58DDD6A3">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（1）投标函；</w:t>
      </w:r>
    </w:p>
    <w:p w14:paraId="4DB116E3">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（2）报价一览表；</w:t>
      </w:r>
    </w:p>
    <w:p w14:paraId="07000D59">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（3）其他投标人认为须提供的资料。</w:t>
      </w:r>
    </w:p>
    <w:p w14:paraId="63D84C96">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投标人资格的有关资料</w:t>
      </w:r>
    </w:p>
    <w:p w14:paraId="31797EA0">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14.1投标人应提交能说明其有资格参加投标和中标后有能力履行合同的文件，并作为其投标文件的一部分。</w:t>
      </w:r>
    </w:p>
    <w:p w14:paraId="056A4D71">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投标人提交的合格性的说明文件应使采购人满意，投标人在投标时应是符合条件的投标人。</w:t>
      </w:r>
    </w:p>
    <w:p w14:paraId="6E0FC9FB">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15</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投标报价</w:t>
      </w:r>
    </w:p>
    <w:p w14:paraId="3080DF4F">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highlight w:val="none"/>
        </w:rPr>
        <w:t>15.1</w:t>
      </w:r>
      <w:r>
        <w:rPr>
          <w:rFonts w:hint="eastAsia" w:asciiTheme="minorEastAsia" w:hAnsiTheme="minorEastAsia" w:eastAsiaTheme="minorEastAsia" w:cstheme="minorEastAsia"/>
          <w:sz w:val="24"/>
          <w:szCs w:val="24"/>
          <w:highlight w:val="none"/>
        </w:rPr>
        <w:t>本次</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eastAsiaTheme="minorEastAsia" w:cstheme="minorEastAsia"/>
          <w:sz w:val="24"/>
          <w:szCs w:val="24"/>
          <w:highlight w:val="none"/>
          <w:lang w:val="en-US" w:eastAsia="zh-CN"/>
        </w:rPr>
        <w:t>以中药配方颗粒零售价（含税）的结算率进行</w:t>
      </w:r>
      <w:r>
        <w:rPr>
          <w:rFonts w:hint="eastAsia" w:asciiTheme="minorEastAsia" w:hAnsiTheme="minorEastAsia" w:eastAsiaTheme="minorEastAsia" w:cstheme="minorEastAsia"/>
          <w:sz w:val="24"/>
          <w:szCs w:val="24"/>
          <w:highlight w:val="none"/>
        </w:rPr>
        <w:t>报价，</w:t>
      </w:r>
      <w:r>
        <w:rPr>
          <w:rFonts w:hint="eastAsia" w:asciiTheme="minorEastAsia" w:hAnsiTheme="minorEastAsia" w:eastAsiaTheme="minorEastAsia" w:cstheme="minorEastAsia"/>
          <w:sz w:val="24"/>
          <w:szCs w:val="24"/>
          <w:highlight w:val="none"/>
          <w:lang w:val="en-US" w:eastAsia="zh-CN"/>
        </w:rPr>
        <w:t>结算率</w:t>
      </w:r>
      <w:r>
        <w:rPr>
          <w:rFonts w:hint="eastAsia" w:asciiTheme="minorEastAsia" w:hAnsiTheme="minorEastAsia" w:eastAsiaTheme="minorEastAsia" w:cstheme="minorEastAsia"/>
          <w:sz w:val="24"/>
          <w:szCs w:val="24"/>
          <w:highlight w:val="none"/>
        </w:rPr>
        <w:t>以百分比（%）进行表述，最多可保留两位小数</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中标人</w:t>
      </w:r>
      <w:r>
        <w:rPr>
          <w:rFonts w:hint="eastAsia" w:asciiTheme="minorEastAsia" w:hAnsiTheme="minorEastAsia" w:eastAsiaTheme="minorEastAsia" w:cstheme="minorEastAsia"/>
          <w:sz w:val="24"/>
          <w:szCs w:val="24"/>
          <w:highlight w:val="none"/>
        </w:rPr>
        <w:t>结算价=中药配方颗粒零售价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含税</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×中标</w:t>
      </w:r>
      <w:r>
        <w:rPr>
          <w:rFonts w:hint="eastAsia" w:asciiTheme="minorEastAsia" w:hAnsiTheme="minorEastAsia" w:eastAsiaTheme="minorEastAsia" w:cstheme="minorEastAsia"/>
          <w:sz w:val="24"/>
          <w:szCs w:val="24"/>
          <w:highlight w:val="none"/>
          <w:lang w:val="en-US" w:eastAsia="zh-CN"/>
        </w:rPr>
        <w:t>结算率。</w:t>
      </w:r>
      <w:r>
        <w:rPr>
          <w:rFonts w:hint="eastAsia" w:asciiTheme="minorEastAsia" w:hAnsiTheme="minorEastAsia" w:eastAsiaTheme="minorEastAsia" w:cstheme="minorEastAsia"/>
          <w:sz w:val="24"/>
          <w:szCs w:val="24"/>
          <w:highlight w:val="none"/>
        </w:rPr>
        <w:t>最多保留到小数点后2位</w:t>
      </w:r>
      <w:r>
        <w:rPr>
          <w:rFonts w:hint="eastAsia" w:asciiTheme="minorEastAsia" w:hAnsiTheme="minorEastAsia" w:eastAsiaTheme="minorEastAsia" w:cstheme="minorEastAsia"/>
          <w:sz w:val="24"/>
          <w:szCs w:val="24"/>
          <w:highlight w:val="none"/>
          <w:lang w:eastAsia="zh-CN"/>
        </w:rPr>
        <w:t>。本次投标的最高限价为：80</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lang w:eastAsia="zh-CN"/>
        </w:rPr>
        <w:t>%，投标报价超过80</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lang w:eastAsia="zh-CN"/>
        </w:rPr>
        <w:t>%将导致投标无效。</w:t>
      </w:r>
    </w:p>
    <w:p w14:paraId="6A157157">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000000"/>
          <w:kern w:val="0"/>
          <w:sz w:val="24"/>
          <w:szCs w:val="24"/>
          <w:highlight w:val="none"/>
          <w:lang w:eastAsia="zh-CN" w:bidi="ar"/>
        </w:rPr>
      </w:pPr>
      <w:r>
        <w:rPr>
          <w:rFonts w:hint="eastAsia" w:asciiTheme="minorEastAsia" w:hAnsiTheme="minorEastAsia" w:eastAsiaTheme="minorEastAsia" w:cstheme="minorEastAsia"/>
          <w:sz w:val="24"/>
          <w:szCs w:val="24"/>
          <w:highlight w:val="none"/>
          <w:lang w:eastAsia="zh-CN"/>
        </w:rPr>
        <w:t>中药配方颗粒</w:t>
      </w:r>
      <w:r>
        <w:rPr>
          <w:rFonts w:hint="eastAsia" w:asciiTheme="minorEastAsia" w:hAnsiTheme="minorEastAsia" w:eastAsiaTheme="minorEastAsia" w:cstheme="minorEastAsia"/>
          <w:sz w:val="24"/>
          <w:szCs w:val="24"/>
          <w:highlight w:val="none"/>
          <w:lang w:val="en-US" w:eastAsia="zh-CN"/>
        </w:rPr>
        <w:t>结算基准</w:t>
      </w:r>
      <w:r>
        <w:rPr>
          <w:rFonts w:hint="eastAsia" w:asciiTheme="minorEastAsia" w:hAnsiTheme="minorEastAsia" w:eastAsiaTheme="minorEastAsia" w:cstheme="minorEastAsia"/>
          <w:sz w:val="24"/>
          <w:szCs w:val="24"/>
          <w:highlight w:val="none"/>
          <w:lang w:eastAsia="zh-CN"/>
        </w:rPr>
        <w:t>价</w:t>
      </w:r>
      <w:bookmarkStart w:id="12" w:name="OLE_LINK6"/>
      <w:r>
        <w:rPr>
          <w:rFonts w:hint="eastAsia" w:asciiTheme="minorEastAsia" w:hAnsiTheme="minorEastAsia" w:eastAsiaTheme="minorEastAsia" w:cstheme="minorEastAsia"/>
          <w:sz w:val="24"/>
          <w:szCs w:val="24"/>
          <w:highlight w:val="none"/>
          <w:lang w:val="en-US" w:eastAsia="zh-CN"/>
        </w:rPr>
        <w:t>为</w:t>
      </w:r>
      <w:r>
        <w:rPr>
          <w:rFonts w:hint="eastAsia" w:asciiTheme="minorEastAsia" w:hAnsiTheme="minorEastAsia" w:eastAsiaTheme="minorEastAsia" w:cstheme="minorEastAsia"/>
          <w:color w:val="000000"/>
          <w:kern w:val="0"/>
          <w:sz w:val="24"/>
          <w:szCs w:val="24"/>
          <w:highlight w:val="none"/>
          <w:lang w:bidi="ar"/>
        </w:rPr>
        <w:t>浙江省中药饮片产业协会</w:t>
      </w:r>
      <w:r>
        <w:rPr>
          <w:rFonts w:hint="eastAsia" w:asciiTheme="minorEastAsia" w:hAnsiTheme="minorEastAsia" w:eastAsiaTheme="minorEastAsia" w:cstheme="minorEastAsia"/>
          <w:color w:val="000000"/>
          <w:kern w:val="0"/>
          <w:sz w:val="24"/>
          <w:szCs w:val="24"/>
          <w:highlight w:val="none"/>
          <w:lang w:val="en-US" w:eastAsia="zh-CN" w:bidi="ar"/>
        </w:rPr>
        <w:t>最新</w:t>
      </w:r>
      <w:r>
        <w:rPr>
          <w:rFonts w:hint="eastAsia" w:asciiTheme="minorEastAsia" w:hAnsiTheme="minorEastAsia" w:eastAsiaTheme="minorEastAsia" w:cstheme="minorEastAsia"/>
          <w:color w:val="000000"/>
          <w:kern w:val="0"/>
          <w:sz w:val="24"/>
          <w:szCs w:val="24"/>
          <w:highlight w:val="none"/>
          <w:lang w:bidi="ar"/>
        </w:rPr>
        <w:t>发布的杭州市中药配方颗粒建议零售价</w:t>
      </w:r>
      <w:bookmarkEnd w:id="12"/>
      <w:r>
        <w:rPr>
          <w:rFonts w:hint="eastAsia" w:asciiTheme="minorEastAsia" w:hAnsiTheme="minorEastAsia" w:eastAsiaTheme="minorEastAsia" w:cstheme="minorEastAsia"/>
          <w:color w:val="000000"/>
          <w:kern w:val="0"/>
          <w:sz w:val="24"/>
          <w:szCs w:val="24"/>
          <w:highlight w:val="none"/>
          <w:lang w:eastAsia="zh-CN" w:bidi="ar"/>
        </w:rPr>
        <w:t>。</w:t>
      </w:r>
    </w:p>
    <w:p w14:paraId="7D8694D3">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lang w:val="en-US" w:eastAsia="zh-CN"/>
        </w:rPr>
        <w:t>投标报价</w:t>
      </w:r>
      <w:r>
        <w:rPr>
          <w:rFonts w:hint="eastAsia" w:asciiTheme="minorEastAsia" w:hAnsiTheme="minorEastAsia" w:eastAsiaTheme="minorEastAsia" w:cstheme="minorEastAsia"/>
          <w:sz w:val="24"/>
          <w:szCs w:val="24"/>
          <w:highlight w:val="none"/>
        </w:rPr>
        <w:t>包括药品原料、包装、生产、运输、管理、损耗、利润、税金、保险、配送和伴随服务等</w:t>
      </w:r>
      <w:r>
        <w:rPr>
          <w:rFonts w:hint="eastAsia" w:asciiTheme="minorEastAsia" w:hAnsiTheme="minorEastAsia" w:eastAsiaTheme="minorEastAsia" w:cstheme="minorEastAsia"/>
          <w:color w:val="auto"/>
          <w:sz w:val="24"/>
          <w:szCs w:val="24"/>
          <w:highlight w:val="none"/>
        </w:rPr>
        <w:t>完成本项目售后服务等的所有费用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政策性文件规定及合同包含的所有风险、责任等各项应有费用，如有漏项，视同已包含在其总项目中，合同</w:t>
      </w:r>
      <w:r>
        <w:rPr>
          <w:rFonts w:hint="eastAsia" w:asciiTheme="minorEastAsia" w:hAnsiTheme="minorEastAsia" w:eastAsiaTheme="minorEastAsia" w:cstheme="minorEastAsia"/>
          <w:color w:val="auto"/>
          <w:sz w:val="24"/>
          <w:szCs w:val="24"/>
          <w:highlight w:val="none"/>
          <w:lang w:val="en-US" w:eastAsia="zh-CN"/>
        </w:rPr>
        <w:t>价款</w:t>
      </w:r>
      <w:r>
        <w:rPr>
          <w:rFonts w:hint="eastAsia" w:asciiTheme="minorEastAsia" w:hAnsiTheme="minorEastAsia" w:eastAsiaTheme="minorEastAsia" w:cstheme="minorEastAsia"/>
          <w:color w:val="auto"/>
          <w:sz w:val="24"/>
          <w:szCs w:val="24"/>
          <w:highlight w:val="none"/>
        </w:rPr>
        <w:t>不予调整</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 xml:space="preserve"> </w:t>
      </w:r>
    </w:p>
    <w:p w14:paraId="092B6015">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15.2中标后，</w:t>
      </w:r>
      <w:r>
        <w:rPr>
          <w:rFonts w:hint="eastAsia" w:asciiTheme="minorEastAsia" w:hAnsiTheme="minorEastAsia" w:eastAsiaTheme="minorEastAsia" w:cstheme="minorEastAsia"/>
          <w:b/>
          <w:color w:val="auto"/>
          <w:sz w:val="24"/>
          <w:szCs w:val="24"/>
          <w:highlight w:val="none"/>
        </w:rPr>
        <w:t>中标人所填写的报价在合同实施期间不因市场变化因素而变动；</w:t>
      </w:r>
      <w:r>
        <w:rPr>
          <w:rFonts w:hint="eastAsia" w:asciiTheme="minorEastAsia" w:hAnsiTheme="minorEastAsia" w:eastAsiaTheme="minorEastAsia" w:cstheme="minorEastAsia"/>
          <w:color w:val="auto"/>
          <w:sz w:val="24"/>
          <w:szCs w:val="24"/>
          <w:highlight w:val="none"/>
        </w:rPr>
        <w:t>投标人在计算报价时应考虑一定的风险系数。</w:t>
      </w:r>
    </w:p>
    <w:p w14:paraId="57738015">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15.3投标人应按招标文件规定的报价格式进行投标报价。投标人只允许有一个报价，采购人不接受任何有选择性的报价。</w:t>
      </w:r>
    </w:p>
    <w:p w14:paraId="302F0AB1">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15.4投标人按照上述要求编制投标报价。一旦确认某一投标人中标，除合同规定的可调整内容外，中标人不得要求追加任何费用。</w:t>
      </w:r>
    </w:p>
    <w:p w14:paraId="004F9972">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15.5须由中标单位开具正式发票。</w:t>
      </w:r>
    </w:p>
    <w:p w14:paraId="51B21F31">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15.6招标文件中规定由投标单位承担并支付的相关费用在投标报价时应一并考虑。</w:t>
      </w:r>
    </w:p>
    <w:p w14:paraId="40EC5FBC">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eastAsiaTheme="minorEastAsia" w:cstheme="minorEastAsia"/>
          <w:b/>
          <w:bCs/>
          <w:color w:val="auto"/>
          <w:sz w:val="24"/>
          <w:highlight w:val="none"/>
        </w:rPr>
        <w:t>投标文件格式</w:t>
      </w:r>
    </w:p>
    <w:p w14:paraId="1155AC31">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16.1</w:t>
      </w:r>
      <w:r>
        <w:rPr>
          <w:rFonts w:hint="eastAsia" w:asciiTheme="minorEastAsia" w:hAnsiTheme="minorEastAsia" w:eastAsiaTheme="minorEastAsia" w:cstheme="minorEastAsia"/>
          <w:color w:val="auto"/>
          <w:sz w:val="24"/>
          <w:highlight w:val="none"/>
        </w:rPr>
        <w:t>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73FC5995">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17</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投标文件编制要求</w:t>
      </w:r>
    </w:p>
    <w:p w14:paraId="6AACAA89">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w:t>
      </w:r>
      <w:r>
        <w:rPr>
          <w:rFonts w:hint="eastAsia" w:asciiTheme="minorEastAsia" w:hAnsiTheme="minorEastAsia" w:eastAsiaTheme="minorEastAsia" w:cstheme="minorEastAsia"/>
          <w:color w:val="auto"/>
          <w:spacing w:val="-4"/>
          <w:sz w:val="24"/>
          <w:highlight w:val="none"/>
        </w:rPr>
        <w:t>投标人应按第13条所规定的全部内容和顺序用标准A4纸分别装订成册（图纸可采用A3纸），标书封面</w:t>
      </w:r>
      <w:r>
        <w:rPr>
          <w:rFonts w:hint="eastAsia" w:asciiTheme="minorEastAsia" w:hAnsiTheme="minorEastAsia" w:eastAsiaTheme="minorEastAsia" w:cstheme="minorEastAsia"/>
          <w:color w:val="auto"/>
          <w:sz w:val="24"/>
          <w:highlight w:val="none"/>
        </w:rPr>
        <w:t>应注明“项目名称、采购编号、商务技术（报价）响应文件、正（副）本、投标单位名称”</w:t>
      </w:r>
      <w:r>
        <w:rPr>
          <w:rFonts w:hint="eastAsia" w:asciiTheme="minorEastAsia" w:hAnsiTheme="minorEastAsia" w:eastAsiaTheme="minorEastAsia" w:cstheme="minorEastAsia"/>
          <w:color w:val="auto"/>
          <w:spacing w:val="-4"/>
          <w:sz w:val="24"/>
          <w:highlight w:val="none"/>
        </w:rPr>
        <w:t>；</w:t>
      </w:r>
      <w:r>
        <w:rPr>
          <w:rFonts w:hint="eastAsia" w:asciiTheme="minorEastAsia" w:hAnsiTheme="minorEastAsia" w:eastAsiaTheme="minorEastAsia" w:cstheme="minorEastAsia"/>
          <w:color w:val="auto"/>
          <w:sz w:val="24"/>
          <w:highlight w:val="none"/>
        </w:rPr>
        <w:t>商务技术响应文件正本一份，副本四份；报价响应文件正本一份，副本四份；若正本与副本之间有差异，以正本为准</w:t>
      </w:r>
      <w:r>
        <w:rPr>
          <w:rFonts w:hint="eastAsia" w:asciiTheme="minorEastAsia" w:hAnsiTheme="minorEastAsia" w:eastAsiaTheme="minorEastAsia" w:cstheme="minorEastAsia"/>
          <w:color w:val="auto"/>
          <w:sz w:val="24"/>
          <w:szCs w:val="24"/>
          <w:highlight w:val="none"/>
        </w:rPr>
        <w:t>。</w:t>
      </w:r>
    </w:p>
    <w:p w14:paraId="34BD6FB9">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17.2</w:t>
      </w:r>
      <w:r>
        <w:rPr>
          <w:rFonts w:hint="eastAsia" w:asciiTheme="minorEastAsia" w:hAnsiTheme="minorEastAsia" w:eastAsiaTheme="minorEastAsia" w:cstheme="minorEastAsia"/>
          <w:color w:val="auto"/>
          <w:spacing w:val="-4"/>
          <w:sz w:val="24"/>
          <w:highlight w:val="none"/>
        </w:rPr>
        <w:t>报价响应文件和商务技术响应文件须分别装订成册，</w:t>
      </w:r>
      <w:r>
        <w:rPr>
          <w:rFonts w:hint="eastAsia" w:asciiTheme="minorEastAsia" w:hAnsiTheme="minorEastAsia" w:eastAsiaTheme="minorEastAsia" w:cstheme="minorEastAsia"/>
          <w:b/>
          <w:color w:val="auto"/>
          <w:spacing w:val="-4"/>
          <w:sz w:val="24"/>
          <w:highlight w:val="none"/>
          <w:em w:val="dot"/>
        </w:rPr>
        <w:t>商务技术响应文件中不得包含投标报价</w:t>
      </w:r>
      <w:r>
        <w:rPr>
          <w:rFonts w:hint="eastAsia" w:asciiTheme="minorEastAsia" w:hAnsiTheme="minorEastAsia" w:eastAsiaTheme="minorEastAsia" w:cstheme="minorEastAsia"/>
          <w:color w:val="auto"/>
          <w:spacing w:val="-4"/>
          <w:sz w:val="24"/>
          <w:szCs w:val="24"/>
          <w:highlight w:val="none"/>
        </w:rPr>
        <w:t>。</w:t>
      </w:r>
    </w:p>
    <w:p w14:paraId="50B8758B">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17.3投标文件应用不褪色的材料书写（</w:t>
      </w:r>
      <w:r>
        <w:rPr>
          <w:rFonts w:hint="eastAsia" w:asciiTheme="minorEastAsia" w:hAnsiTheme="minorEastAsia" w:eastAsiaTheme="minorEastAsia" w:cstheme="minorEastAsia"/>
          <w:b/>
          <w:color w:val="auto"/>
          <w:sz w:val="24"/>
          <w:szCs w:val="24"/>
          <w:highlight w:val="none"/>
        </w:rPr>
        <w:t>除本招标文件特别约定外</w:t>
      </w:r>
      <w:r>
        <w:rPr>
          <w:rFonts w:hint="eastAsia" w:asciiTheme="minorEastAsia" w:hAnsiTheme="minorEastAsia" w:eastAsiaTheme="minorEastAsia" w:cstheme="minorEastAsia"/>
          <w:color w:val="auto"/>
          <w:sz w:val="24"/>
          <w:szCs w:val="24"/>
          <w:highlight w:val="none"/>
        </w:rPr>
        <w:t>）或打印，字迹应清晰易于辨认，按照招标文件要求的投标文件格式由投标人的法定代表人或其授权的委托代理人签字或盖单位章，其授权的委托代理人签字的，投标文件应附法定代表人签署的授权委托书。投标文件应尽量避免涂改、行间插字或删除，如果出现上述情况，改动之处应加盖单</w:t>
      </w:r>
      <w:r>
        <w:rPr>
          <w:rFonts w:hint="eastAsia" w:asciiTheme="minorEastAsia" w:hAnsiTheme="minorEastAsia" w:eastAsiaTheme="minorEastAsia" w:cstheme="minorEastAsia"/>
          <w:color w:val="auto"/>
          <w:sz w:val="24"/>
          <w:szCs w:val="24"/>
          <w:highlight w:val="none"/>
          <w:lang w:eastAsia="zh-CN"/>
        </w:rPr>
        <w:t>位公</w:t>
      </w:r>
      <w:r>
        <w:rPr>
          <w:rFonts w:hint="eastAsia" w:asciiTheme="minorEastAsia" w:hAnsiTheme="minorEastAsia" w:eastAsiaTheme="minorEastAsia" w:cstheme="minorEastAsia"/>
          <w:color w:val="auto"/>
          <w:sz w:val="24"/>
          <w:szCs w:val="24"/>
          <w:highlight w:val="none"/>
        </w:rPr>
        <w:t>章或由投标人的法定代表人或其授权的委托代理人签字确认。</w:t>
      </w:r>
    </w:p>
    <w:p w14:paraId="2CCA0694">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17.4 投标文件不得采用活页夹装订</w:t>
      </w:r>
      <w:r>
        <w:rPr>
          <w:rFonts w:hint="eastAsia" w:asciiTheme="minorEastAsia" w:hAnsiTheme="minorEastAsia" w:eastAsiaTheme="minorEastAsia" w:cstheme="minorEastAsia"/>
          <w:color w:val="auto"/>
          <w:spacing w:val="-4"/>
          <w:sz w:val="24"/>
          <w:szCs w:val="24"/>
          <w:highlight w:val="none"/>
        </w:rPr>
        <w:t>。</w:t>
      </w:r>
    </w:p>
    <w:p w14:paraId="27F042F0">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17.5</w:t>
      </w:r>
      <w:r>
        <w:rPr>
          <w:rFonts w:hint="eastAsia" w:asciiTheme="minorEastAsia" w:hAnsiTheme="minorEastAsia" w:eastAsiaTheme="minorEastAsia" w:cstheme="minorEastAsia"/>
          <w:b/>
          <w:color w:val="auto"/>
          <w:spacing w:val="-4"/>
          <w:sz w:val="24"/>
          <w:szCs w:val="24"/>
          <w:highlight w:val="none"/>
        </w:rPr>
        <w:t>投标文件的正本和副本在招标文件中要求</w:t>
      </w:r>
      <w:r>
        <w:rPr>
          <w:rFonts w:hint="eastAsia" w:asciiTheme="minorEastAsia" w:hAnsiTheme="minorEastAsia" w:eastAsiaTheme="minorEastAsia" w:cstheme="minorEastAsia"/>
          <w:b/>
          <w:color w:val="auto"/>
          <w:sz w:val="24"/>
          <w:szCs w:val="24"/>
          <w:highlight w:val="none"/>
          <w:shd w:val="clear" w:color="auto" w:fill="CCCCCC"/>
        </w:rPr>
        <w:t>加盖单位公章的地方</w:t>
      </w:r>
      <w:r>
        <w:rPr>
          <w:rFonts w:hint="eastAsia" w:asciiTheme="minorEastAsia" w:hAnsiTheme="minorEastAsia" w:eastAsiaTheme="minorEastAsia" w:cstheme="minorEastAsia"/>
          <w:b/>
          <w:color w:val="auto"/>
          <w:spacing w:val="-4"/>
          <w:sz w:val="24"/>
          <w:szCs w:val="24"/>
          <w:highlight w:val="none"/>
        </w:rPr>
        <w:t>必须加盖单位公章，</w:t>
      </w:r>
      <w:r>
        <w:rPr>
          <w:rFonts w:hint="eastAsia" w:asciiTheme="minorEastAsia" w:hAnsiTheme="minorEastAsia" w:eastAsiaTheme="minorEastAsia" w:cstheme="minorEastAsia"/>
          <w:color w:val="auto"/>
          <w:spacing w:val="-4"/>
          <w:sz w:val="24"/>
          <w:szCs w:val="24"/>
          <w:highlight w:val="none"/>
        </w:rPr>
        <w:t>否则按废标处理。</w:t>
      </w:r>
    </w:p>
    <w:p w14:paraId="4ACC8249">
      <w:pPr>
        <w:pStyle w:val="13"/>
        <w:pageBreakBefore w:val="0"/>
        <w:kinsoku/>
        <w:wordWrap/>
        <w:overflowPunct/>
        <w:topLinePunct w:val="0"/>
        <w:autoSpaceDE/>
        <w:autoSpaceDN/>
        <w:bidi w:val="0"/>
        <w:adjustRightInd/>
        <w:snapToGrid/>
        <w:spacing w:line="360" w:lineRule="auto"/>
        <w:ind w:left="0" w:leftChars="0" w:firstLine="464" w:firstLineChars="200"/>
        <w:rPr>
          <w:rFonts w:hint="eastAsia" w:asciiTheme="minorEastAsia" w:hAnsiTheme="minorEastAsia" w:eastAsiaTheme="minorEastAsia" w:cstheme="minorEastAsia"/>
          <w:b/>
          <w:color w:val="auto"/>
          <w:spacing w:val="-4"/>
          <w:sz w:val="24"/>
          <w:highlight w:val="none"/>
        </w:rPr>
      </w:pPr>
      <w:r>
        <w:rPr>
          <w:rFonts w:hint="eastAsia" w:asciiTheme="minorEastAsia" w:hAnsiTheme="minorEastAsia" w:eastAsiaTheme="minorEastAsia" w:cstheme="minorEastAsia"/>
          <w:b/>
          <w:color w:val="auto"/>
          <w:spacing w:val="-4"/>
          <w:sz w:val="24"/>
          <w:highlight w:val="none"/>
        </w:rPr>
        <w:t>18</w:t>
      </w:r>
      <w:r>
        <w:rPr>
          <w:rFonts w:hint="eastAsia" w:asciiTheme="minorEastAsia" w:hAnsiTheme="minorEastAsia" w:eastAsiaTheme="minorEastAsia" w:cstheme="minorEastAsia"/>
          <w:b/>
          <w:color w:val="auto"/>
          <w:spacing w:val="-4"/>
          <w:sz w:val="24"/>
          <w:highlight w:val="none"/>
          <w:lang w:val="en-US" w:eastAsia="zh-CN"/>
        </w:rPr>
        <w:t>.</w:t>
      </w:r>
      <w:r>
        <w:rPr>
          <w:rFonts w:hint="eastAsia" w:asciiTheme="minorEastAsia" w:hAnsiTheme="minorEastAsia" w:eastAsiaTheme="minorEastAsia" w:cstheme="minorEastAsia"/>
          <w:b/>
          <w:color w:val="auto"/>
          <w:spacing w:val="-4"/>
          <w:sz w:val="24"/>
          <w:highlight w:val="none"/>
        </w:rPr>
        <w:t>投标人发生下列情况之一时，将按失信行为上报义乌市信用管理部门：</w:t>
      </w:r>
    </w:p>
    <w:p w14:paraId="66A7EAD9">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（1）投标人在规定的投标有效期内撤回投标或放弃中标的；</w:t>
      </w:r>
    </w:p>
    <w:p w14:paraId="7145CD93">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（2）有意串标或提供虚假材料的；</w:t>
      </w:r>
    </w:p>
    <w:p w14:paraId="700BBE01">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（3）中标人在收到中标通知书后，因自身原因不能在投标有效期内和采购人签订合同。</w:t>
      </w:r>
    </w:p>
    <w:p w14:paraId="3F3DDDC5">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（4）中标人未在规定时</w:t>
      </w:r>
      <w:r>
        <w:rPr>
          <w:rFonts w:hint="eastAsia" w:asciiTheme="minorEastAsia" w:hAnsiTheme="minorEastAsia" w:cstheme="minorEastAsia"/>
          <w:color w:val="auto"/>
          <w:sz w:val="24"/>
          <w:highlight w:val="none"/>
          <w:lang w:eastAsia="zh-CN"/>
        </w:rPr>
        <w:t>间内</w:t>
      </w:r>
      <w:r>
        <w:rPr>
          <w:rFonts w:hint="eastAsia" w:asciiTheme="minorEastAsia" w:hAnsiTheme="minorEastAsia" w:eastAsiaTheme="minorEastAsia" w:cstheme="minorEastAsia"/>
          <w:color w:val="auto"/>
          <w:sz w:val="24"/>
          <w:highlight w:val="none"/>
        </w:rPr>
        <w:t>缴纳招标代理费的。</w:t>
      </w:r>
    </w:p>
    <w:p w14:paraId="4078DF78">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（5）中标供应商在标后履约过程中未按合同约定的期限和要求履约的。</w:t>
      </w:r>
    </w:p>
    <w:p w14:paraId="15187854">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（6）因中标供应商原因在标后履约过程中擅自终止合同的。</w:t>
      </w:r>
    </w:p>
    <w:p w14:paraId="4DE57CCF">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（7）不符合招标文件要求的其他失信行为。</w:t>
      </w:r>
    </w:p>
    <w:p w14:paraId="393F6C8B">
      <w:pPr>
        <w:pageBreakBefore w:val="0"/>
        <w:widowControl/>
        <w:kinsoku/>
        <w:wordWrap/>
        <w:overflowPunct/>
        <w:topLinePunct w:val="0"/>
        <w:autoSpaceDE/>
        <w:autoSpaceDN/>
        <w:bidi w:val="0"/>
        <w:adjustRightInd/>
        <w:snapToGrid/>
        <w:spacing w:line="360" w:lineRule="auto"/>
        <w:ind w:left="0" w:leftChars="0" w:firstLine="480" w:firstLineChars="20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sz w:val="24"/>
          <w:highlight w:val="none"/>
        </w:rPr>
        <w:t>19</w:t>
      </w:r>
      <w:r>
        <w:rPr>
          <w:rFonts w:hint="eastAsia" w:asciiTheme="minorEastAsia" w:hAnsiTheme="minorEastAsia" w:eastAsiaTheme="minorEastAsia" w:cstheme="minorEastAsia"/>
          <w:b/>
          <w:color w:val="auto"/>
          <w:sz w:val="24"/>
          <w:highlight w:val="none"/>
          <w:lang w:val="en-US" w:eastAsia="zh-CN"/>
        </w:rPr>
        <w:t>.</w:t>
      </w:r>
      <w:r>
        <w:rPr>
          <w:rFonts w:hint="eastAsia" w:asciiTheme="minorEastAsia" w:hAnsiTheme="minorEastAsia" w:eastAsiaTheme="minorEastAsia" w:cstheme="minorEastAsia"/>
          <w:b/>
          <w:color w:val="auto"/>
          <w:kern w:val="0"/>
          <w:sz w:val="24"/>
          <w:highlight w:val="none"/>
        </w:rPr>
        <w:t>采购代理服务费</w:t>
      </w:r>
    </w:p>
    <w:p w14:paraId="5E6DB9C9">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19</w:t>
      </w:r>
      <w:r>
        <w:rPr>
          <w:rFonts w:hint="eastAsia" w:asciiTheme="minorEastAsia" w:hAnsiTheme="minorEastAsia" w:eastAsiaTheme="minorEastAsia" w:cstheme="minorEastAsia"/>
          <w:color w:val="auto"/>
          <w:kern w:val="0"/>
          <w:sz w:val="24"/>
          <w:highlight w:val="none"/>
        </w:rPr>
        <w:t>.1采购代理服务费：</w:t>
      </w:r>
      <w:r>
        <w:rPr>
          <w:rFonts w:hint="eastAsia" w:asciiTheme="minorEastAsia" w:hAnsiTheme="minorEastAsia" w:eastAsiaTheme="minorEastAsia" w:cstheme="minorEastAsia"/>
          <w:bCs/>
          <w:color w:val="auto"/>
          <w:kern w:val="0"/>
          <w:sz w:val="24"/>
          <w:highlight w:val="none"/>
          <w:lang w:val="en-US" w:eastAsia="zh-CN"/>
        </w:rPr>
        <w:t>12</w:t>
      </w:r>
      <w:r>
        <w:rPr>
          <w:rFonts w:hint="eastAsia" w:asciiTheme="minorEastAsia" w:hAnsiTheme="minorEastAsia" w:eastAsiaTheme="minorEastAsia" w:cstheme="minorEastAsia"/>
          <w:bCs/>
          <w:color w:val="auto"/>
          <w:kern w:val="0"/>
          <w:sz w:val="24"/>
          <w:highlight w:val="none"/>
        </w:rPr>
        <w:t>000.00元整。</w:t>
      </w:r>
    </w:p>
    <w:p w14:paraId="4A93BC48">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.2采购代理服务费在领取中标通知时向中标人收取，可用银行汇票、电汇、银行本票、现金等方式支付，未按规定时间缴纳代理服务费的，将按失信行为上报义乌市信用管理部门。</w:t>
      </w:r>
    </w:p>
    <w:p w14:paraId="56CD4DDE">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采购代理服务费收款人：浙江开平企业管理咨询有限公司</w:t>
      </w:r>
    </w:p>
    <w:p w14:paraId="36B4D7DF">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    号：33001676248059000088</w:t>
      </w:r>
    </w:p>
    <w:p w14:paraId="22B235D3">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开户银行：义乌市建行乐园分理处</w:t>
      </w:r>
    </w:p>
    <w:p w14:paraId="52C3AFDC">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注：缴纳凭证应注明“采购代理服务费”字样。</w:t>
      </w:r>
    </w:p>
    <w:p w14:paraId="41E91CE9">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w:t>
      </w:r>
      <w:r>
        <w:rPr>
          <w:rFonts w:hint="eastAsia" w:asciiTheme="minorEastAsia" w:hAnsiTheme="minorEastAsia" w:eastAsiaTheme="minorEastAsia" w:cstheme="minorEastAsia"/>
          <w:b/>
          <w:bCs/>
          <w:color w:val="auto"/>
          <w:sz w:val="24"/>
          <w:highlight w:val="none"/>
          <w:lang w:val="en-US" w:eastAsia="zh-CN"/>
        </w:rPr>
        <w:t>0.</w:t>
      </w:r>
      <w:r>
        <w:rPr>
          <w:rFonts w:hint="eastAsia" w:asciiTheme="minorEastAsia" w:hAnsiTheme="minorEastAsia" w:eastAsiaTheme="minorEastAsia" w:cstheme="minorEastAsia"/>
          <w:b/>
          <w:bCs/>
          <w:color w:val="auto"/>
          <w:sz w:val="24"/>
          <w:highlight w:val="none"/>
        </w:rPr>
        <w:t>投标有效期</w:t>
      </w:r>
    </w:p>
    <w:p w14:paraId="10B95159">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 投标文件从开标之日起，投标有效期为60天。</w:t>
      </w:r>
    </w:p>
    <w:p w14:paraId="1A34E1DD">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.2特殊情况下，在原投标有效期截止之前，采购人可要求投标人同意延长有效期，这种要求与答复均应以书面形式提交。接受延长投标有效期的投标人将不会被要求和允许修正其投标。</w:t>
      </w:r>
    </w:p>
    <w:p w14:paraId="5A611E2B">
      <w:pPr>
        <w:pStyle w:val="4"/>
        <w:pageBreakBefore w:val="0"/>
        <w:kinsoku/>
        <w:wordWrap/>
        <w:overflowPunct/>
        <w:topLinePunct w:val="0"/>
        <w:autoSpaceDE/>
        <w:autoSpaceDN/>
        <w:bidi w:val="0"/>
        <w:adjustRightInd/>
        <w:snapToGrid/>
        <w:spacing w:before="0" w:after="0" w:line="360" w:lineRule="auto"/>
        <w:ind w:left="0" w:leftChars="0" w:firstLine="480" w:firstLineChars="200"/>
        <w:rPr>
          <w:rFonts w:hint="eastAsia" w:asciiTheme="minorEastAsia" w:hAnsiTheme="minorEastAsia" w:eastAsiaTheme="minorEastAsia" w:cstheme="minorEastAsia"/>
          <w:color w:val="auto"/>
          <w:szCs w:val="24"/>
          <w:highlight w:val="none"/>
        </w:rPr>
      </w:pPr>
      <w:bookmarkStart w:id="13" w:name="_Toc362250690"/>
      <w:bookmarkStart w:id="14" w:name="_Toc274303232"/>
      <w:r>
        <w:rPr>
          <w:rFonts w:hint="eastAsia" w:asciiTheme="minorEastAsia" w:hAnsiTheme="minorEastAsia" w:eastAsiaTheme="minorEastAsia" w:cstheme="minorEastAsia"/>
          <w:color w:val="auto"/>
          <w:szCs w:val="24"/>
          <w:highlight w:val="none"/>
        </w:rPr>
        <w:t>四、投标文件的递交</w:t>
      </w:r>
      <w:bookmarkEnd w:id="13"/>
      <w:bookmarkEnd w:id="14"/>
    </w:p>
    <w:p w14:paraId="5EDC7DF0">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投标文件的密封和标记</w:t>
      </w:r>
    </w:p>
    <w:p w14:paraId="3D226274">
      <w:pPr>
        <w:pageBreakBefore w:val="0"/>
        <w:kinsoku/>
        <w:wordWrap/>
        <w:overflowPunct/>
        <w:topLinePunct w:val="0"/>
        <w:autoSpaceDE/>
        <w:autoSpaceDN/>
        <w:bidi w:val="0"/>
        <w:adjustRightInd/>
        <w:snapToGrid/>
        <w:spacing w:line="360" w:lineRule="auto"/>
        <w:ind w:left="0" w:leftChars="0" w:firstLine="464"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pacing w:val="-4"/>
          <w:sz w:val="24"/>
          <w:highlight w:val="none"/>
        </w:rPr>
        <w:t>2</w:t>
      </w:r>
      <w:r>
        <w:rPr>
          <w:rFonts w:hint="eastAsia" w:asciiTheme="minorEastAsia" w:hAnsiTheme="minorEastAsia" w:eastAsiaTheme="minorEastAsia" w:cstheme="minorEastAsia"/>
          <w:color w:val="auto"/>
          <w:spacing w:val="-4"/>
          <w:sz w:val="24"/>
          <w:highlight w:val="none"/>
          <w:lang w:val="en-US" w:eastAsia="zh-CN"/>
        </w:rPr>
        <w:t>1</w:t>
      </w:r>
      <w:r>
        <w:rPr>
          <w:rFonts w:hint="eastAsia" w:asciiTheme="minorEastAsia" w:hAnsiTheme="minorEastAsia" w:eastAsiaTheme="minorEastAsia" w:cstheme="minorEastAsia"/>
          <w:color w:val="auto"/>
          <w:spacing w:val="-4"/>
          <w:sz w:val="24"/>
          <w:highlight w:val="none"/>
        </w:rPr>
        <w:t>.1</w:t>
      </w:r>
      <w:r>
        <w:rPr>
          <w:rFonts w:hint="eastAsia" w:asciiTheme="minorEastAsia" w:hAnsiTheme="minorEastAsia" w:eastAsiaTheme="minorEastAsia" w:cstheme="minorEastAsia"/>
          <w:color w:val="auto"/>
          <w:sz w:val="24"/>
          <w:highlight w:val="none"/>
        </w:rPr>
        <w:t>投标文件应按以下方法装袋密封标记：商务技术响应文件包装袋内装商务技术响应文件正本一份副本四份，报价响应文件包装袋内装报价响应文件正本一份副本四份；外包装封面上应标明“采购编号、投标项目名称、商务技术响应文件（或报价响应文件）、投标人名称”等，并注明“于</w:t>
      </w:r>
      <w:r>
        <w:rPr>
          <w:rFonts w:hint="eastAsia" w:asciiTheme="minorEastAsia" w:hAnsiTheme="minorEastAsia" w:eastAsiaTheme="minorEastAsia" w:cstheme="minorEastAsia"/>
          <w:bCs/>
          <w:color w:val="auto"/>
          <w:sz w:val="24"/>
          <w:highlight w:val="none"/>
          <w:lang w:eastAsia="zh-CN"/>
        </w:rPr>
        <w:t>2026年8月4日09:30</w:t>
      </w:r>
      <w:r>
        <w:rPr>
          <w:rFonts w:hint="eastAsia" w:asciiTheme="minorEastAsia" w:hAnsiTheme="minorEastAsia" w:eastAsiaTheme="minorEastAsia" w:cstheme="minorEastAsia"/>
          <w:bCs/>
          <w:color w:val="auto"/>
          <w:sz w:val="24"/>
          <w:highlight w:val="none"/>
        </w:rPr>
        <w:t>前不准启封</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的字样；封口应加盖单位公章。</w:t>
      </w:r>
    </w:p>
    <w:p w14:paraId="4ACB81BA">
      <w:pPr>
        <w:pageBreakBefore w:val="0"/>
        <w:tabs>
          <w:tab w:val="left" w:pos="315"/>
        </w:tabs>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w:t>
      </w:r>
      <w:r>
        <w:rPr>
          <w:rFonts w:hint="eastAsia" w:asciiTheme="minorEastAsia" w:hAnsiTheme="minorEastAsia" w:eastAsiaTheme="minorEastAsia" w:cstheme="minorEastAsia"/>
          <w:b/>
          <w:bCs/>
          <w:color w:val="auto"/>
          <w:sz w:val="24"/>
          <w:highlight w:val="none"/>
          <w:lang w:val="en-US" w:eastAsia="zh-CN"/>
        </w:rPr>
        <w:t>2.</w:t>
      </w:r>
      <w:r>
        <w:rPr>
          <w:rFonts w:hint="eastAsia" w:asciiTheme="minorEastAsia" w:hAnsiTheme="minorEastAsia" w:eastAsiaTheme="minorEastAsia" w:cstheme="minorEastAsia"/>
          <w:b/>
          <w:bCs/>
          <w:color w:val="auto"/>
          <w:sz w:val="24"/>
          <w:highlight w:val="none"/>
        </w:rPr>
        <w:t>递交投标文件的地点和截止时间</w:t>
      </w:r>
    </w:p>
    <w:p w14:paraId="57C5A867">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.1、本项目开标程序按照“不见面开标”的要求，于</w:t>
      </w:r>
      <w:r>
        <w:rPr>
          <w:rFonts w:hint="eastAsia" w:asciiTheme="minorEastAsia" w:hAnsiTheme="minorEastAsia" w:cstheme="minorEastAsia"/>
          <w:color w:val="auto"/>
          <w:sz w:val="24"/>
          <w:highlight w:val="none"/>
          <w:lang w:eastAsia="zh-CN"/>
        </w:rPr>
        <w:t>2026年8月4日09:30</w:t>
      </w:r>
      <w:r>
        <w:rPr>
          <w:rFonts w:hint="eastAsia" w:asciiTheme="minorEastAsia" w:hAnsiTheme="minorEastAsia" w:eastAsiaTheme="minorEastAsia" w:cstheme="minorEastAsia"/>
          <w:color w:val="auto"/>
          <w:sz w:val="24"/>
          <w:highlight w:val="none"/>
        </w:rPr>
        <w:t>前送达投标响应文件。</w:t>
      </w:r>
    </w:p>
    <w:p w14:paraId="7C369370">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szCs w:val="24"/>
          <w:highlight w:val="none"/>
        </w:rPr>
        <w:t>投标文件递交方式：</w:t>
      </w:r>
    </w:p>
    <w:p w14:paraId="5CE8E9E0">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A.投标文件采用邮寄的投标方式，递交投标文件截止及开标时间以后送达的或破损包装的投标文件不予接收，快递退回。</w:t>
      </w:r>
    </w:p>
    <w:p w14:paraId="6836E48E">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shd w:val="clear" w:color="auto" w:fill="FFFFFF"/>
        </w:rPr>
        <w:t>B.投标人当面递交的，开标当天统一接收模式：在开标前1小时内，投标人直接将投标文件送至</w:t>
      </w:r>
      <w:r>
        <w:rPr>
          <w:rFonts w:hint="eastAsia" w:asciiTheme="minorEastAsia" w:hAnsiTheme="minorEastAsia" w:eastAsiaTheme="minorEastAsia" w:cstheme="minorEastAsia"/>
          <w:color w:val="auto"/>
          <w:sz w:val="24"/>
          <w:highlight w:val="none"/>
        </w:rPr>
        <w:t>浙江开平企业管理咨询有限公司。</w:t>
      </w:r>
    </w:p>
    <w:p w14:paraId="0273257A">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地址：浙江开平企业管理咨询有限公司（义乌市雪峰西路968号科创园科技大楼B区4楼）</w:t>
      </w:r>
    </w:p>
    <w:p w14:paraId="6C7076B3">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收件人：赵棋明       联系方式：0579-85328516</w:t>
      </w:r>
    </w:p>
    <w:p w14:paraId="689401CA">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szCs w:val="24"/>
          <w:highlight w:val="none"/>
        </w:rPr>
        <w:t>投标文件采用两层包装，即投标文件按招标文件要求包装后再进行外包装，外包装格式详见</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邮寄附件。请各投标人确保在邮寄过程</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密封包装完好，因邮寄过程</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密封破损造成不符合开标要求的，本招标代理</w:t>
      </w:r>
      <w:r>
        <w:rPr>
          <w:rFonts w:hint="eastAsia" w:asciiTheme="minorEastAsia" w:hAnsiTheme="minorEastAsia" w:eastAsiaTheme="minorEastAsia" w:cstheme="minorEastAsia"/>
          <w:color w:val="auto"/>
          <w:sz w:val="24"/>
          <w:szCs w:val="24"/>
          <w:highlight w:val="none"/>
          <w:lang w:eastAsia="zh-CN"/>
        </w:rPr>
        <w:t>机构</w:t>
      </w:r>
      <w:r>
        <w:rPr>
          <w:rFonts w:hint="eastAsia" w:asciiTheme="minorEastAsia" w:hAnsiTheme="minorEastAsia" w:eastAsiaTheme="minorEastAsia" w:cstheme="minorEastAsia"/>
          <w:color w:val="auto"/>
          <w:sz w:val="24"/>
          <w:szCs w:val="24"/>
          <w:highlight w:val="none"/>
        </w:rPr>
        <w:t>及采购人概不负责。建议投标文件包装后邮寄时再进行外包装。供应商对邮寄快递招标、采购文件的完整性、密封性负责。</w:t>
      </w:r>
    </w:p>
    <w:p w14:paraId="558439AB">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（3）评审过程中有关澄清、说明或者补正，招标代理通过以下电子邮箱进行收发。电子邮箱：zjkpemc@vip.163.com。</w:t>
      </w:r>
    </w:p>
    <w:p w14:paraId="2B0FA800">
      <w:pPr>
        <w:pStyle w:val="13"/>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pacing w:val="-8"/>
          <w:sz w:val="24"/>
          <w:highlight w:val="none"/>
        </w:rPr>
      </w:pPr>
      <w:r>
        <w:rPr>
          <w:rFonts w:hint="eastAsia" w:asciiTheme="minorEastAsia" w:hAnsiTheme="minorEastAsia" w:eastAsiaTheme="minorEastAsia" w:cstheme="minorEastAsia"/>
          <w:color w:val="auto"/>
          <w:sz w:val="24"/>
          <w:highlight w:val="none"/>
        </w:rPr>
        <w:t>（4）投标人须在投标文件中提供：①指定作出澄清、说明或补正的电子邮箱；②法定代表人或授权代表的钉钉号。</w:t>
      </w:r>
    </w:p>
    <w:p w14:paraId="6131D8F4">
      <w:pPr>
        <w:pageBreakBefore w:val="0"/>
        <w:tabs>
          <w:tab w:val="left" w:pos="315"/>
        </w:tabs>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rPr>
        <w:t>2</w:t>
      </w:r>
      <w:r>
        <w:rPr>
          <w:rFonts w:hint="eastAsia" w:asciiTheme="minorEastAsia" w:hAnsiTheme="minorEastAsia" w:eastAsiaTheme="minorEastAsia" w:cstheme="minorEastAsia"/>
          <w:b/>
          <w:bCs/>
          <w:color w:val="auto"/>
          <w:sz w:val="24"/>
          <w:highlight w:val="none"/>
          <w:lang w:val="en-US" w:eastAsia="zh-CN"/>
        </w:rPr>
        <w:t>3.</w:t>
      </w:r>
      <w:r>
        <w:rPr>
          <w:rFonts w:hint="eastAsia" w:asciiTheme="minorEastAsia" w:hAnsiTheme="minorEastAsia" w:eastAsiaTheme="minorEastAsia" w:cstheme="minorEastAsia"/>
          <w:b/>
          <w:bCs/>
          <w:color w:val="auto"/>
          <w:sz w:val="24"/>
          <w:highlight w:val="none"/>
        </w:rPr>
        <w:t>迟交的投标文件</w:t>
      </w:r>
    </w:p>
    <w:p w14:paraId="4C871CD2">
      <w:pPr>
        <w:pageBreakBefore w:val="0"/>
        <w:tabs>
          <w:tab w:val="left" w:pos="315"/>
        </w:tabs>
        <w:kinsoku/>
        <w:wordWrap/>
        <w:overflowPunct/>
        <w:topLinePunct w:val="0"/>
        <w:autoSpaceDE/>
        <w:autoSpaceDN/>
        <w:bidi w:val="0"/>
        <w:adjustRightInd/>
        <w:snapToGrid/>
        <w:spacing w:line="360" w:lineRule="auto"/>
        <w:ind w:left="0" w:leftChars="0" w:firstLine="456" w:firstLineChars="20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2</w:t>
      </w:r>
      <w:r>
        <w:rPr>
          <w:rFonts w:hint="eastAsia" w:asciiTheme="minorEastAsia" w:hAnsiTheme="minorEastAsia" w:eastAsiaTheme="minorEastAsia" w:cstheme="minorEastAsia"/>
          <w:color w:val="auto"/>
          <w:spacing w:val="-6"/>
          <w:sz w:val="24"/>
          <w:highlight w:val="none"/>
          <w:lang w:val="en-US" w:eastAsia="zh-CN"/>
        </w:rPr>
        <w:t>3</w:t>
      </w:r>
      <w:r>
        <w:rPr>
          <w:rFonts w:hint="eastAsia" w:asciiTheme="minorEastAsia" w:hAnsiTheme="minorEastAsia" w:eastAsiaTheme="minorEastAsia" w:cstheme="minorEastAsia"/>
          <w:color w:val="auto"/>
          <w:spacing w:val="-6"/>
          <w:sz w:val="24"/>
          <w:highlight w:val="none"/>
        </w:rPr>
        <w:t>.1采购人在规定的投标截止时间以后不接收投标文件。</w:t>
      </w:r>
    </w:p>
    <w:p w14:paraId="478303F6">
      <w:pPr>
        <w:pageBreakBefore w:val="0"/>
        <w:tabs>
          <w:tab w:val="left" w:pos="315"/>
        </w:tabs>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投标文件的补充、修改与撤回</w:t>
      </w:r>
    </w:p>
    <w:p w14:paraId="7DE086F9">
      <w:pPr>
        <w:pageBreakBefore w:val="0"/>
        <w:tabs>
          <w:tab w:val="left" w:pos="315"/>
        </w:tabs>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.1投标人在提交投标文件以后，在规定的投标截止时间之前，可以以书面形式补充修改或撤回已提交的投标文件，并以书面形式通知采购人。补充、修改的内容为投标文件的组成部分。</w:t>
      </w:r>
    </w:p>
    <w:p w14:paraId="28E86853">
      <w:pPr>
        <w:pageBreakBefore w:val="0"/>
        <w:tabs>
          <w:tab w:val="left" w:pos="315"/>
        </w:tabs>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.2投标人对投标文件的补充、修改，应按本须知第2</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条有关规定密封、标记和提交，并在内外层投标文件密封上清楚标明“补充、修改”或“撤回”字样。</w:t>
      </w:r>
    </w:p>
    <w:p w14:paraId="42B271BD">
      <w:pPr>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.3按规定提交撤回投标文件通知书的不予开标。</w:t>
      </w:r>
    </w:p>
    <w:p w14:paraId="2A130237">
      <w:pPr>
        <w:pStyle w:val="11"/>
        <w:pageBreakBefore w:val="0"/>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color w:val="auto"/>
          <w:spacing w:val="-6"/>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.4在投标截止时间之后，</w:t>
      </w:r>
      <w:r>
        <w:rPr>
          <w:rFonts w:hint="eastAsia" w:asciiTheme="minorEastAsia" w:hAnsiTheme="minorEastAsia" w:eastAsiaTheme="minorEastAsia" w:cstheme="minorEastAsia"/>
          <w:color w:val="auto"/>
          <w:spacing w:val="-6"/>
          <w:highlight w:val="none"/>
        </w:rPr>
        <w:t>投标人不得对其投标做任何修改。</w:t>
      </w:r>
    </w:p>
    <w:p w14:paraId="25DE4052">
      <w:pPr>
        <w:pStyle w:val="13"/>
        <w:pageBreakBefore w:val="0"/>
        <w:kinsoku/>
        <w:wordWrap/>
        <w:overflowPunct/>
        <w:topLinePunct w:val="0"/>
        <w:autoSpaceDE/>
        <w:autoSpaceDN/>
        <w:bidi w:val="0"/>
        <w:adjustRightInd/>
        <w:snapToGrid/>
        <w:spacing w:line="360" w:lineRule="auto"/>
        <w:ind w:left="0" w:leftChars="0" w:firstLine="456" w:firstLineChars="200"/>
        <w:rPr>
          <w:rFonts w:hint="eastAsia" w:asciiTheme="minorEastAsia" w:hAnsiTheme="minorEastAsia" w:eastAsiaTheme="minorEastAsia" w:cstheme="minorEastAsia"/>
          <w:color w:val="auto"/>
          <w:spacing w:val="-8"/>
          <w:sz w:val="24"/>
          <w:highlight w:val="none"/>
        </w:rPr>
      </w:pPr>
      <w:r>
        <w:rPr>
          <w:rFonts w:hint="eastAsia" w:asciiTheme="minorEastAsia" w:hAnsiTheme="minorEastAsia" w:eastAsiaTheme="minorEastAsia" w:cstheme="minorEastAsia"/>
          <w:color w:val="auto"/>
          <w:spacing w:val="-6"/>
          <w:sz w:val="24"/>
          <w:highlight w:val="none"/>
        </w:rPr>
        <w:t>2</w:t>
      </w:r>
      <w:r>
        <w:rPr>
          <w:rFonts w:hint="eastAsia" w:asciiTheme="minorEastAsia" w:hAnsiTheme="minorEastAsia" w:eastAsiaTheme="minorEastAsia" w:cstheme="minorEastAsia"/>
          <w:color w:val="auto"/>
          <w:spacing w:val="-6"/>
          <w:sz w:val="24"/>
          <w:highlight w:val="none"/>
          <w:lang w:val="en-US" w:eastAsia="zh-CN"/>
        </w:rPr>
        <w:t>4</w:t>
      </w:r>
      <w:r>
        <w:rPr>
          <w:rFonts w:hint="eastAsia" w:asciiTheme="minorEastAsia" w:hAnsiTheme="minorEastAsia" w:eastAsiaTheme="minorEastAsia" w:cstheme="minorEastAsia"/>
          <w:color w:val="auto"/>
          <w:spacing w:val="-6"/>
          <w:sz w:val="24"/>
          <w:highlight w:val="none"/>
        </w:rPr>
        <w:t>.5从投标截止时间至投标人在投标书格式中确定的投标有效期期满这段时间内，投标人不得撤回其投标。</w:t>
      </w:r>
    </w:p>
    <w:p w14:paraId="53B5FC23">
      <w:pPr>
        <w:pStyle w:val="4"/>
        <w:pageBreakBefore w:val="0"/>
        <w:kinsoku/>
        <w:wordWrap/>
        <w:overflowPunct/>
        <w:topLinePunct w:val="0"/>
        <w:autoSpaceDE/>
        <w:autoSpaceDN/>
        <w:bidi w:val="0"/>
        <w:adjustRightInd/>
        <w:snapToGrid/>
        <w:spacing w:before="0" w:after="0" w:line="360" w:lineRule="auto"/>
        <w:ind w:left="0" w:leftChars="0" w:firstLine="480" w:firstLineChars="200"/>
        <w:rPr>
          <w:rFonts w:hint="eastAsia" w:asciiTheme="minorEastAsia" w:hAnsiTheme="minorEastAsia" w:eastAsiaTheme="minorEastAsia" w:cstheme="minorEastAsia"/>
          <w:color w:val="auto"/>
          <w:szCs w:val="24"/>
          <w:highlight w:val="none"/>
        </w:rPr>
      </w:pPr>
      <w:bookmarkStart w:id="15" w:name="_Toc362250691"/>
      <w:bookmarkStart w:id="16" w:name="_Toc274303233"/>
      <w:r>
        <w:rPr>
          <w:rFonts w:hint="eastAsia" w:asciiTheme="minorEastAsia" w:hAnsiTheme="minorEastAsia" w:eastAsiaTheme="minorEastAsia" w:cstheme="minorEastAsia"/>
          <w:color w:val="auto"/>
          <w:szCs w:val="24"/>
          <w:highlight w:val="none"/>
        </w:rPr>
        <w:t>五、</w:t>
      </w:r>
      <w:r>
        <w:rPr>
          <w:rFonts w:hint="eastAsia" w:asciiTheme="minorEastAsia" w:hAnsiTheme="minorEastAsia" w:eastAsiaTheme="minorEastAsia" w:cstheme="minorEastAsia"/>
          <w:color w:val="auto"/>
          <w:szCs w:val="24"/>
          <w:highlight w:val="none"/>
          <w:lang w:eastAsia="zh-CN"/>
        </w:rPr>
        <w:t>其他</w:t>
      </w:r>
      <w:bookmarkEnd w:id="15"/>
      <w:bookmarkEnd w:id="16"/>
    </w:p>
    <w:p w14:paraId="5E6A0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val="0"/>
          <w:bCs w:val="0"/>
          <w:color w:val="auto"/>
          <w:sz w:val="24"/>
          <w:highlight w:val="none"/>
        </w:rPr>
        <w:t>2</w:t>
      </w:r>
      <w:r>
        <w:rPr>
          <w:rFonts w:hint="eastAsia" w:asciiTheme="minorEastAsia" w:hAnsiTheme="minorEastAsia" w:eastAsiaTheme="minorEastAsia" w:cstheme="minorEastAsia"/>
          <w:b w:val="0"/>
          <w:bCs w:val="0"/>
          <w:color w:val="auto"/>
          <w:sz w:val="24"/>
          <w:highlight w:val="none"/>
          <w:lang w:val="en-US" w:eastAsia="zh-CN"/>
        </w:rPr>
        <w:t>5.</w:t>
      </w:r>
      <w:r>
        <w:rPr>
          <w:rFonts w:hint="eastAsia" w:asciiTheme="minorEastAsia" w:hAnsiTheme="minorEastAsia" w:eastAsiaTheme="minorEastAsia" w:cstheme="minorEastAsia"/>
          <w:b w:val="0"/>
          <w:bCs w:val="0"/>
          <w:color w:val="auto"/>
          <w:sz w:val="24"/>
          <w:highlight w:val="none"/>
        </w:rPr>
        <w:t>本招标文件解释权归采购人。</w:t>
      </w:r>
    </w:p>
    <w:p w14:paraId="2C13FC45">
      <w:pPr>
        <w:pStyle w:val="11"/>
        <w:rPr>
          <w:rFonts w:hint="eastAsia" w:asciiTheme="minorEastAsia" w:hAnsiTheme="minorEastAsia" w:eastAsiaTheme="minorEastAsia" w:cstheme="minorEastAsia"/>
          <w:highlight w:val="none"/>
        </w:rPr>
      </w:pPr>
    </w:p>
    <w:p w14:paraId="0EC6D4C3">
      <w:pPr>
        <w:pStyle w:val="11"/>
        <w:rPr>
          <w:rFonts w:hint="eastAsia" w:asciiTheme="minorEastAsia" w:hAnsiTheme="minorEastAsia" w:eastAsiaTheme="minorEastAsia" w:cstheme="minorEastAsia"/>
          <w:highlight w:val="none"/>
        </w:rPr>
        <w:sectPr>
          <w:headerReference r:id="rId5" w:type="default"/>
          <w:footerReference r:id="rId6" w:type="default"/>
          <w:pgSz w:w="11906" w:h="16838"/>
          <w:pgMar w:top="1134" w:right="1134" w:bottom="1134" w:left="1418" w:header="851" w:footer="851" w:gutter="0"/>
          <w:pgNumType w:start="0"/>
          <w:cols w:space="720" w:num="1"/>
          <w:titlePg/>
          <w:docGrid w:type="linesAndChars" w:linePitch="312" w:charSpace="0"/>
        </w:sectPr>
      </w:pPr>
    </w:p>
    <w:p w14:paraId="7878AA24">
      <w:pPr>
        <w:snapToGrid w:val="0"/>
        <w:spacing w:line="360" w:lineRule="auto"/>
        <w:ind w:firstLine="2254" w:firstLineChars="700"/>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2"/>
          <w:highlight w:val="none"/>
        </w:rPr>
        <w:t>第三章  招标项目内容及要求</w:t>
      </w:r>
    </w:p>
    <w:p w14:paraId="0DDE1844">
      <w:pPr>
        <w:pStyle w:val="3"/>
        <w:pageBreakBefore w:val="0"/>
        <w:widowControl w:val="0"/>
        <w:kinsoku/>
        <w:wordWrap/>
        <w:overflowPunct/>
        <w:topLinePunct w:val="0"/>
        <w:autoSpaceDE/>
        <w:autoSpaceDN/>
        <w:bidi w:val="0"/>
        <w:adjustRightInd/>
        <w:snapToGrid/>
        <w:spacing w:before="0" w:after="0"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一、招标内容</w:t>
      </w:r>
    </w:p>
    <w:p w14:paraId="3F814603">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本次招标的项目为</w:t>
      </w:r>
      <w:r>
        <w:rPr>
          <w:rFonts w:hint="eastAsia" w:asciiTheme="minorEastAsia" w:hAnsiTheme="minorEastAsia" w:eastAsiaTheme="minorEastAsia" w:cstheme="minorEastAsia"/>
          <w:color w:val="auto"/>
          <w:sz w:val="24"/>
          <w:szCs w:val="24"/>
          <w:highlight w:val="none"/>
          <w:lang w:eastAsia="zh-CN"/>
        </w:rPr>
        <w:t>义乌市苏溪镇中心卫生院</w:t>
      </w:r>
      <w:r>
        <w:rPr>
          <w:rFonts w:hint="eastAsia" w:asciiTheme="minorEastAsia" w:hAnsiTheme="minorEastAsia" w:eastAsiaTheme="minorEastAsia" w:cstheme="minorEastAsia"/>
          <w:color w:val="auto"/>
          <w:sz w:val="24"/>
          <w:szCs w:val="24"/>
          <w:highlight w:val="none"/>
        </w:rPr>
        <w:t>中药配方颗粒及相关伴随服务采购，中标人提供符合国标或省标中药配方颗粒及相关伴随服务。</w:t>
      </w:r>
    </w:p>
    <w:p w14:paraId="36E6BBA7">
      <w:pPr>
        <w:pageBreakBefore w:val="0"/>
        <w:widowControl w:val="0"/>
        <w:kinsoku/>
        <w:wordWrap/>
        <w:overflowPunct/>
        <w:topLinePunct w:val="0"/>
        <w:autoSpaceDE/>
        <w:autoSpaceDN/>
        <w:bidi w:val="0"/>
        <w:adjustRightInd/>
        <w:snapToGrid/>
        <w:spacing w:line="360" w:lineRule="auto"/>
        <w:ind w:firstLine="484"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二、服务期限</w:t>
      </w:r>
    </w:p>
    <w:p w14:paraId="5A77D7B4">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服务期限为</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rPr>
        <w:t>年。若合同执行中途遇中药配方颗粒政策调整，双方根据新政策进行协商并变更合同内容，合同期限可以按照原</w:t>
      </w:r>
      <w:r>
        <w:rPr>
          <w:rFonts w:hint="eastAsia" w:asciiTheme="minorEastAsia" w:hAnsiTheme="minorEastAsia" w:eastAsiaTheme="minorEastAsia" w:cstheme="minorEastAsia"/>
          <w:color w:val="auto"/>
          <w:sz w:val="24"/>
          <w:szCs w:val="24"/>
          <w:highlight w:val="none"/>
          <w:lang w:eastAsia="zh-CN"/>
        </w:rPr>
        <w:t>合同</w:t>
      </w:r>
      <w:r>
        <w:rPr>
          <w:rFonts w:hint="eastAsia" w:asciiTheme="minorEastAsia" w:hAnsiTheme="minorEastAsia" w:eastAsiaTheme="minorEastAsia" w:cstheme="minorEastAsia"/>
          <w:color w:val="auto"/>
          <w:sz w:val="24"/>
          <w:szCs w:val="24"/>
          <w:highlight w:val="none"/>
        </w:rPr>
        <w:t>执行。如在规定期限内不能满足上级部门政策要求，双方协商终止合同。</w:t>
      </w:r>
    </w:p>
    <w:p w14:paraId="4D6B279E">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84"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三、中药配方颗粒品种数与质量要求</w:t>
      </w:r>
    </w:p>
    <w:p w14:paraId="13223FBD">
      <w:pPr>
        <w:pageBreakBefore w:val="0"/>
        <w:widowControl w:val="0"/>
        <w:numPr>
          <w:ilvl w:val="0"/>
          <w:numId w:val="0"/>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配方颗粒质量基本要求：投标人供应的中药配方颗粒质量须符合中药配方颗粒国家标准或浙江省标准且通过备案。上市备案的中药配方颗粒品种获得上市备案号，跨省销售备案的中药配方颗粒品种获得跨省销售备案号。</w:t>
      </w:r>
    </w:p>
    <w:p w14:paraId="39C1F7A1">
      <w:pPr>
        <w:pageBreakBefore w:val="0"/>
        <w:widowControl w:val="0"/>
        <w:numPr>
          <w:ilvl w:val="0"/>
          <w:numId w:val="0"/>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2.投标人提供经营的中药配方颗粒生产备案目录，并保证此目录内的中药配方颗粒在采购周期内可以持续供货。保证所供应的中药配方颗粒是合法、合格药品且保证有效期内的中药配方颗粒的质量。</w:t>
      </w:r>
    </w:p>
    <w:p w14:paraId="5423F75D">
      <w:pPr>
        <w:pageBreakBefore w:val="0"/>
        <w:widowControl w:val="0"/>
        <w:numPr>
          <w:ilvl w:val="0"/>
          <w:numId w:val="0"/>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生产企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符合相关部门规定，保证中药配方颗粒的质量。</w:t>
      </w:r>
    </w:p>
    <w:p w14:paraId="41914ECB">
      <w:pPr>
        <w:pageBreakBefore w:val="0"/>
        <w:widowControl w:val="0"/>
        <w:numPr>
          <w:ilvl w:val="0"/>
          <w:numId w:val="0"/>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四、中药配方颗粒终端分包装服务</w:t>
      </w:r>
    </w:p>
    <w:p w14:paraId="0C873221">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1.合同期内提供最先进的配方颗粒终端分包装服务，调配机应满足国标或省标质量配方颗粒调配需求和正常业务需求。调配机应接入医院的HIS系统，接口费由中标人承担。</w:t>
      </w:r>
    </w:p>
    <w:p w14:paraId="70803F0C">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2.中药配方颗粒调剂应符合智慧药房需求，提供中药配方颗粒处方审核系统。</w:t>
      </w:r>
    </w:p>
    <w:p w14:paraId="655B34E9">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医院根据项目需要，提供智能调配设备安放的场地，由中标人负责场地的设计、装修，按照中药配方颗粒调配机的使用要求，确保符合相应的温湿度环境要求。合同期内，由中标人负责调配系统、温湿度控制系统的维护、维修和保养，如发生故障，应在48小时内修复，否则应提供备用机。如调配机有升级换代产品，中标人应在医院提出更换要求6个月内，提供全新产品。</w:t>
      </w:r>
    </w:p>
    <w:p w14:paraId="5FE4C0B5">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4.合同期内，中药配方颗粒的包装材料和调剂所需的耗材，由中标人免费提供。</w:t>
      </w:r>
    </w:p>
    <w:p w14:paraId="2B642434">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5.中标人配备与业务量相匹配的符合上岗要求的专业技术人员，对技术人员进行培训。</w:t>
      </w:r>
    </w:p>
    <w:p w14:paraId="05C23719">
      <w:pPr>
        <w:pageBreakBefore w:val="0"/>
        <w:widowControl w:val="0"/>
        <w:kinsoku/>
        <w:wordWrap/>
        <w:overflowPunct/>
        <w:topLinePunct w:val="0"/>
        <w:autoSpaceDE/>
        <w:autoSpaceDN/>
        <w:bidi w:val="0"/>
        <w:adjustRightInd/>
        <w:snapToGrid/>
        <w:spacing w:before="0" w:after="0" w:line="360" w:lineRule="auto"/>
        <w:ind w:firstLine="484" w:firstLineChars="200"/>
        <w:textAlignment w:val="auto"/>
        <w:outlineLvl w:val="9"/>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6.合同签订起30日内中标人须完成设备的安装，设备系统稳定运行。</w:t>
      </w:r>
    </w:p>
    <w:p w14:paraId="6D2A10AA">
      <w:pPr>
        <w:pageBreakBefore w:val="0"/>
        <w:widowControl w:val="0"/>
        <w:numPr>
          <w:ilvl w:val="0"/>
          <w:numId w:val="0"/>
        </w:numPr>
        <w:kinsoku/>
        <w:wordWrap/>
        <w:overflowPunct/>
        <w:topLinePunct w:val="0"/>
        <w:autoSpaceDE/>
        <w:autoSpaceDN/>
        <w:bidi w:val="0"/>
        <w:adjustRightInd/>
        <w:snapToGrid/>
        <w:spacing w:line="360" w:lineRule="auto"/>
        <w:ind w:firstLine="484" w:firstLineChars="200"/>
        <w:textAlignment w:val="auto"/>
        <w:outlineLvl w:val="1"/>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五、装修要求</w:t>
      </w:r>
    </w:p>
    <w:p w14:paraId="4687F126">
      <w:pPr>
        <w:pageBreakBefore w:val="0"/>
        <w:widowControl w:val="0"/>
        <w:numPr>
          <w:ilvl w:val="0"/>
          <w:numId w:val="0"/>
        </w:numPr>
        <w:kinsoku/>
        <w:wordWrap/>
        <w:overflowPunct/>
        <w:topLinePunct w:val="0"/>
        <w:autoSpaceDE/>
        <w:autoSpaceDN/>
        <w:bidi w:val="0"/>
        <w:adjustRightInd/>
        <w:snapToGrid/>
        <w:spacing w:line="360" w:lineRule="auto"/>
        <w:ind w:firstLine="484"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中药配方颗粒剂药房装修由中标人提出装修及设计方案，经医院基建总务科审核通过后方可实施，由中标人自行承担装修及费用。装修不能破坏建筑主体、承重结构，且装修风格色彩应与医院整体相协调。中标人因服务期满后或合同终止后，需在收到撤场通知后2周内完成撤场工作。涉及装修事宜，不予拆除，医院不承担补偿。</w:t>
      </w:r>
    </w:p>
    <w:p w14:paraId="52381E2D">
      <w:pPr>
        <w:pageBreakBefore w:val="0"/>
        <w:widowControl w:val="0"/>
        <w:numPr>
          <w:ilvl w:val="0"/>
          <w:numId w:val="0"/>
        </w:numPr>
        <w:kinsoku/>
        <w:wordWrap/>
        <w:overflowPunct/>
        <w:topLinePunct w:val="0"/>
        <w:autoSpaceDE/>
        <w:autoSpaceDN/>
        <w:bidi w:val="0"/>
        <w:adjustRightInd/>
        <w:snapToGrid/>
        <w:spacing w:line="360" w:lineRule="auto"/>
        <w:ind w:firstLine="484" w:firstLineChars="200"/>
        <w:textAlignment w:val="auto"/>
        <w:outlineLvl w:val="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六、中药配方颗粒服务</w:t>
      </w:r>
      <w:r>
        <w:rPr>
          <w:rFonts w:hint="eastAsia" w:asciiTheme="minorEastAsia" w:hAnsiTheme="minorEastAsia" w:eastAsiaTheme="minorEastAsia" w:cstheme="minorEastAsia"/>
          <w:b/>
          <w:bCs/>
          <w:color w:val="auto"/>
          <w:sz w:val="24"/>
          <w:szCs w:val="24"/>
          <w:highlight w:val="none"/>
        </w:rPr>
        <w:t>要求：</w:t>
      </w:r>
    </w:p>
    <w:p w14:paraId="72F3A931">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1.根据采购人的要求，中标人应及时提供配方颗粒并按时送到指定地点，保证送货的及时性。一般要求48小时内配送到位，紧急用药4小时内送达。配送或快递等相关服务费用由中标人负责。 </w:t>
      </w:r>
    </w:p>
    <w:p w14:paraId="18706EBC">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2.中药配方颗粒入库和验收</w:t>
      </w:r>
    </w:p>
    <w:p w14:paraId="6A8AD084">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2.1供货时，中标人必须提供每批次配方颗粒的质量检测报告，且报告单与实物批号完全对应。</w:t>
      </w:r>
    </w:p>
    <w:p w14:paraId="260A06C7">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2.2中药配方颗粒的有效期应符合医院药品入库验收标准，保证入库后剩余有效期不少于12个月（特殊药品除外）。</w:t>
      </w:r>
    </w:p>
    <w:p w14:paraId="1E7D1AC5">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2.3中药配方颗粒送达医院时，在产品外包装标签上必须标示有品名、规格、产地、生产企业、产品批号、生产日期、执行标准并附质量合格标志。</w:t>
      </w:r>
    </w:p>
    <w:p w14:paraId="57CE0B04">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医院对中药配方颗粒的产地、质量、包装、有效期等信息进行核对无误后进行入库验收。若验收不合格，中标人必须更换货物，并且赔偿由此给医院造成的损失；入库记录为入库验收的唯一有效凭证，入库验收时间以入库记录时间为准。</w:t>
      </w:r>
    </w:p>
    <w:p w14:paraId="5C31F2DE">
      <w:pPr>
        <w:pageBreakBefore w:val="0"/>
        <w:widowControl w:val="0"/>
        <w:kinsoku/>
        <w:wordWrap/>
        <w:overflowPunct/>
        <w:topLinePunct w:val="0"/>
        <w:autoSpaceDE/>
        <w:autoSpaceDN/>
        <w:bidi w:val="0"/>
        <w:adjustRightInd/>
        <w:snapToGrid/>
        <w:spacing w:before="0" w:after="0" w:line="360" w:lineRule="auto"/>
        <w:ind w:firstLine="484"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lang w:val="en-US" w:eastAsia="zh-CN"/>
        </w:rPr>
        <w:t>2.5如有配方颗粒质量问题，中标人应免费退、换相应的货物，并承担由于产品质量问题而引发的全部费用。</w:t>
      </w:r>
    </w:p>
    <w:p w14:paraId="4E6CA021">
      <w:pPr>
        <w:pStyle w:val="11"/>
        <w:pageBreakBefore w:val="0"/>
        <w:widowControl w:val="0"/>
        <w:numPr>
          <w:ilvl w:val="0"/>
          <w:numId w:val="0"/>
        </w:numPr>
        <w:kinsoku/>
        <w:wordWrap/>
        <w:overflowPunct/>
        <w:topLinePunct w:val="0"/>
        <w:autoSpaceDE/>
        <w:autoSpaceDN/>
        <w:bidi w:val="0"/>
        <w:adjustRightInd/>
        <w:snapToGrid/>
        <w:spacing w:line="360" w:lineRule="auto"/>
        <w:ind w:firstLine="484" w:firstLineChars="200"/>
        <w:textAlignment w:val="auto"/>
        <w:outlineLvl w:val="1"/>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七、报价与结算</w:t>
      </w:r>
    </w:p>
    <w:p w14:paraId="6EF5B6CC">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bookmarkStart w:id="17" w:name="OLE_LINK7"/>
      <w:r>
        <w:rPr>
          <w:rFonts w:hint="eastAsia" w:asciiTheme="minorEastAsia" w:hAnsiTheme="minorEastAsia" w:eastAsiaTheme="minorEastAsia" w:cstheme="minorEastAsia"/>
          <w:sz w:val="24"/>
          <w:szCs w:val="24"/>
          <w:highlight w:val="none"/>
          <w:lang w:val="en-US" w:eastAsia="zh-CN"/>
        </w:rPr>
        <w:t>中药配方颗粒结算基准价以</w:t>
      </w:r>
      <w:r>
        <w:rPr>
          <w:rFonts w:hint="eastAsia" w:asciiTheme="minorEastAsia" w:hAnsiTheme="minorEastAsia" w:eastAsiaTheme="minorEastAsia" w:cstheme="minorEastAsia"/>
          <w:sz w:val="24"/>
          <w:szCs w:val="24"/>
          <w:highlight w:val="none"/>
        </w:rPr>
        <w:t>浙江省中药饮片产业协会最新发布的杭州市中药配方颗粒建议零售价</w:t>
      </w:r>
      <w:r>
        <w:rPr>
          <w:rFonts w:hint="eastAsia" w:asciiTheme="minorEastAsia" w:hAnsiTheme="minorEastAsia" w:eastAsiaTheme="minorEastAsia" w:cstheme="minorEastAsia"/>
          <w:sz w:val="24"/>
          <w:szCs w:val="24"/>
          <w:highlight w:val="none"/>
          <w:lang w:val="en-US" w:eastAsia="zh-CN"/>
        </w:rPr>
        <w:t>为准。</w:t>
      </w:r>
      <w:bookmarkEnd w:id="17"/>
    </w:p>
    <w:p w14:paraId="05E42F51">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投标报价包括药品原料、包装、生产、运输、管理、损耗、利润、税金、保险、配送和伴随服务等完成本项目售后服务等的所有费用，政策性文件规定及合同包含的所有风险、责任等各项应有费用，如有漏项，视同已包含在其总项目中，合同价款不予调整。</w:t>
      </w:r>
    </w:p>
    <w:p w14:paraId="7B4AE30D">
      <w:pPr>
        <w:pStyle w:val="13"/>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3.本次招标项目以中药配方颗粒零售价（含税）的结算率进行报价，结算率以百分比（%）进行表述。</w:t>
      </w:r>
      <w:r>
        <w:rPr>
          <w:rFonts w:hint="eastAsia" w:asciiTheme="minorEastAsia" w:hAnsiTheme="minorEastAsia" w:eastAsiaTheme="minorEastAsia" w:cstheme="minorEastAsia"/>
          <w:sz w:val="24"/>
          <w:szCs w:val="24"/>
          <w:highlight w:val="none"/>
          <w:lang w:eastAsia="zh-CN"/>
        </w:rPr>
        <w:t>本次投标的最高限价为：80</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lang w:eastAsia="zh-CN"/>
        </w:rPr>
        <w:t>%，投标报价超过80</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lang w:eastAsia="zh-CN"/>
        </w:rPr>
        <w:t>%将导致投标无效。</w:t>
      </w:r>
    </w:p>
    <w:p w14:paraId="33FC5E38">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4.中药配方颗粒价格调整：在合同期内浙江省中药饮片产业协会发布的杭州市中药配方颗粒建议零售价格如有调整，则本次中标结算率不变，结算价随之调整。</w:t>
      </w:r>
    </w:p>
    <w:p w14:paraId="0AF27603">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中药配方颗粒政策调整：在合同期内中药配方颗粒遇国家相关政策调整，如平台挂网采购及医保政策变化等，按调整政策执行。也可就相关事宜进行协商，并签订补充协议；若协商不成的，采购人有权单方解除合同。</w:t>
      </w:r>
    </w:p>
    <w:p w14:paraId="45EBFDBF">
      <w:pPr>
        <w:pageBreakBefore w:val="0"/>
        <w:widowControl w:val="0"/>
        <w:kinsoku/>
        <w:wordWrap/>
        <w:overflowPunct/>
        <w:topLinePunct w:val="0"/>
        <w:autoSpaceDE/>
        <w:autoSpaceDN/>
        <w:bidi w:val="0"/>
        <w:adjustRightInd/>
        <w:snapToGrid/>
        <w:spacing w:before="0" w:after="0" w:line="360" w:lineRule="auto"/>
        <w:ind w:firstLine="484" w:firstLineChars="20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6.结算：中标人结算价=中药配方颗粒零售价（含税）×中标结算率。</w:t>
      </w:r>
    </w:p>
    <w:p w14:paraId="3468259D">
      <w:pPr>
        <w:pageBreakBefore w:val="0"/>
        <w:widowControl w:val="0"/>
        <w:kinsoku/>
        <w:wordWrap/>
        <w:overflowPunct/>
        <w:topLinePunct w:val="0"/>
        <w:autoSpaceDE/>
        <w:autoSpaceDN/>
        <w:bidi w:val="0"/>
        <w:adjustRightInd/>
        <w:snapToGrid/>
        <w:spacing w:line="360" w:lineRule="auto"/>
        <w:ind w:firstLine="484" w:firstLineChars="200"/>
        <w:textAlignment w:val="auto"/>
        <w:outlineLvl w:val="1"/>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八、样品</w:t>
      </w:r>
    </w:p>
    <w:p w14:paraId="432100C6">
      <w:pPr>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1.样品种类：</w:t>
      </w:r>
      <w:r>
        <w:rPr>
          <w:rFonts w:hint="eastAsia" w:asciiTheme="minorEastAsia" w:hAnsiTheme="minorEastAsia" w:eastAsiaTheme="minorEastAsia" w:cstheme="minorEastAsia"/>
          <w:color w:val="auto"/>
          <w:sz w:val="24"/>
          <w:szCs w:val="24"/>
          <w:highlight w:val="none"/>
        </w:rPr>
        <w:t>金银花、菊花、黄芪、当归、党参、甘草、黄连、北柴胡、陈皮、薄荷</w:t>
      </w:r>
      <w:r>
        <w:rPr>
          <w:rFonts w:hint="eastAsia" w:asciiTheme="minorEastAsia" w:hAnsiTheme="minorEastAsia" w:eastAsiaTheme="minorEastAsia" w:cstheme="minorEastAsia"/>
          <w:color w:val="auto"/>
          <w:sz w:val="24"/>
          <w:szCs w:val="24"/>
          <w:highlight w:val="none"/>
          <w:lang w:val="en-US" w:eastAsia="zh-CN"/>
        </w:rPr>
        <w:t>。</w:t>
      </w:r>
    </w:p>
    <w:p w14:paraId="3066B4BF">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样品要求：递交投标文件的同时，提供上述10种符合国标或省标的中药配方颗粒样品，每个品种提供3份，每份相当于中药饮片10克。每个品种1个外包装，每个样品外包装必须注明产品名称、规格、产地、执行标准，提供质量检测报告。</w:t>
      </w:r>
    </w:p>
    <w:p w14:paraId="3E54E06E">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3.对10种样品包装再用一个大包装密封，大包装注明投标人（加盖公章）。</w:t>
      </w:r>
    </w:p>
    <w:p w14:paraId="569056AC">
      <w:pPr>
        <w:pageBreakBefore w:val="0"/>
        <w:widowControl w:val="0"/>
        <w:kinsoku/>
        <w:wordWrap/>
        <w:overflowPunct/>
        <w:topLinePunct w:val="0"/>
        <w:autoSpaceDE/>
        <w:autoSpaceDN/>
        <w:bidi w:val="0"/>
        <w:adjustRightInd/>
        <w:snapToGrid/>
        <w:spacing w:before="0" w:after="0" w:line="360" w:lineRule="auto"/>
        <w:ind w:firstLine="484"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4.中标人的样品将交予采购人封存，不予退还，未中标的投标人的样品在采购工作结束后退还。</w:t>
      </w:r>
    </w:p>
    <w:p w14:paraId="719056D4">
      <w:pPr>
        <w:pStyle w:val="11"/>
        <w:pageBreakBefore w:val="0"/>
        <w:widowControl w:val="0"/>
        <w:kinsoku/>
        <w:wordWrap/>
        <w:overflowPunct/>
        <w:topLinePunct w:val="0"/>
        <w:autoSpaceDE/>
        <w:autoSpaceDN/>
        <w:bidi w:val="0"/>
        <w:adjustRightInd/>
        <w:snapToGrid/>
        <w:spacing w:line="360" w:lineRule="auto"/>
        <w:ind w:firstLine="484" w:firstLineChars="200"/>
        <w:textAlignment w:val="auto"/>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九、付款方式和条件</w:t>
      </w:r>
      <w:r>
        <w:rPr>
          <w:rFonts w:hint="eastAsia" w:asciiTheme="minorEastAsia" w:hAnsiTheme="minorEastAsia" w:eastAsiaTheme="minorEastAsia" w:cstheme="minorEastAsia"/>
          <w:b/>
          <w:color w:val="auto"/>
          <w:sz w:val="24"/>
          <w:szCs w:val="24"/>
          <w:highlight w:val="none"/>
        </w:rPr>
        <w:t>：</w:t>
      </w:r>
    </w:p>
    <w:p w14:paraId="56648C1E">
      <w:pPr>
        <w:pStyle w:val="13"/>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分批供货，</w:t>
      </w:r>
      <w:r>
        <w:rPr>
          <w:rFonts w:hint="eastAsia" w:asciiTheme="minorEastAsia" w:hAnsiTheme="minorEastAsia" w:eastAsiaTheme="minorEastAsia" w:cstheme="minorEastAsia"/>
          <w:color w:val="auto"/>
          <w:sz w:val="24"/>
          <w:szCs w:val="24"/>
          <w:highlight w:val="none"/>
          <w:lang w:val="en-US" w:eastAsia="zh-CN"/>
        </w:rPr>
        <w:t>按月结算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到货</w:t>
      </w:r>
      <w:r>
        <w:rPr>
          <w:rFonts w:hint="eastAsia" w:asciiTheme="minorEastAsia" w:hAnsiTheme="minorEastAsia" w:eastAsiaTheme="minorEastAsia" w:cstheme="minorEastAsia"/>
          <w:color w:val="auto"/>
          <w:sz w:val="24"/>
          <w:szCs w:val="24"/>
          <w:highlight w:val="none"/>
        </w:rPr>
        <w:t>验收合格后</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凭发票、清单</w:t>
      </w:r>
      <w:r>
        <w:rPr>
          <w:rFonts w:hint="eastAsia" w:asciiTheme="minorEastAsia" w:hAnsiTheme="minorEastAsia" w:eastAsiaTheme="minorEastAsia" w:cstheme="minorEastAsia"/>
          <w:color w:val="auto"/>
          <w:sz w:val="24"/>
          <w:szCs w:val="24"/>
          <w:highlight w:val="none"/>
          <w:lang w:eastAsia="zh-CN"/>
        </w:rPr>
        <w:t>、验收单</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个月内支付。</w:t>
      </w:r>
    </w:p>
    <w:p w14:paraId="5A6ABCCA">
      <w:pPr>
        <w:pStyle w:val="6"/>
        <w:rPr>
          <w:rFonts w:hint="eastAsia" w:asciiTheme="minorEastAsia" w:hAnsiTheme="minorEastAsia" w:eastAsiaTheme="minorEastAsia" w:cstheme="minorEastAsia"/>
          <w:highlight w:val="none"/>
        </w:rPr>
      </w:pPr>
    </w:p>
    <w:p w14:paraId="0F446B0C">
      <w:pP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br w:type="page"/>
      </w:r>
    </w:p>
    <w:p w14:paraId="57840C79">
      <w:pPr>
        <w:pStyle w:val="6"/>
        <w:outlineLvl w:val="2"/>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eastAsia="zh-CN"/>
        </w:rPr>
        <w:t>义乌市苏溪镇中心卫生院中药</w:t>
      </w:r>
      <w:r>
        <w:rPr>
          <w:rFonts w:hint="eastAsia" w:asciiTheme="minorEastAsia" w:hAnsiTheme="minorEastAsia" w:eastAsiaTheme="minorEastAsia" w:cstheme="minorEastAsia"/>
          <w:color w:val="auto"/>
          <w:sz w:val="24"/>
          <w:szCs w:val="22"/>
          <w:highlight w:val="none"/>
        </w:rPr>
        <w:t>配方颗粒目录</w:t>
      </w:r>
    </w:p>
    <w:tbl>
      <w:tblPr>
        <w:tblStyle w:val="27"/>
        <w:tblW w:w="93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3705"/>
        <w:gridCol w:w="870"/>
        <w:gridCol w:w="4058"/>
      </w:tblGrid>
      <w:tr w14:paraId="4723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0A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序号</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762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37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序号</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DE1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名称</w:t>
            </w:r>
          </w:p>
        </w:tc>
      </w:tr>
      <w:tr w14:paraId="08AD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5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89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阿胶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0D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77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苦参</w:t>
            </w:r>
          </w:p>
        </w:tc>
      </w:tr>
      <w:tr w14:paraId="7108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A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8F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矮地茶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16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FF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苦杏仁（西伯利亚杏）</w:t>
            </w:r>
          </w:p>
        </w:tc>
      </w:tr>
      <w:tr w14:paraId="5A0A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B9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D3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艾叶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D9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48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款冬花</w:t>
            </w:r>
          </w:p>
        </w:tc>
      </w:tr>
      <w:tr w14:paraId="4487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FC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31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巴戟天</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BD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3A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昆布</w:t>
            </w:r>
          </w:p>
        </w:tc>
      </w:tr>
      <w:tr w14:paraId="7AFA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A0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31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白扁豆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FD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39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莱菔子</w:t>
            </w:r>
          </w:p>
        </w:tc>
      </w:tr>
      <w:tr w14:paraId="0734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B0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6D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白果仁</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16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F0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老鹳草（野老鹳草）</w:t>
            </w:r>
          </w:p>
        </w:tc>
      </w:tr>
      <w:tr w14:paraId="71F0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63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0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白花蛇舌草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76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73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荔枝核</w:t>
            </w:r>
          </w:p>
        </w:tc>
      </w:tr>
      <w:tr w14:paraId="7BDB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1B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15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白茅根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1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CA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连翘（青翘）</w:t>
            </w:r>
          </w:p>
        </w:tc>
      </w:tr>
      <w:tr w14:paraId="0BD8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35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51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白芍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74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15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莲子心</w:t>
            </w:r>
          </w:p>
        </w:tc>
      </w:tr>
      <w:tr w14:paraId="705D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9E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F4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白术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E4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8E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两面针</w:t>
            </w:r>
          </w:p>
        </w:tc>
      </w:tr>
      <w:tr w14:paraId="0666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D6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8E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白头翁</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C0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15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灵芝（赤芝）</w:t>
            </w:r>
          </w:p>
        </w:tc>
      </w:tr>
      <w:tr w14:paraId="38BA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1D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0F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白鲜皮</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50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9D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龙胆（龙胆）</w:t>
            </w:r>
          </w:p>
        </w:tc>
      </w:tr>
      <w:tr w14:paraId="7D4B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6E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29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白芷（白芷）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AB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E1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龙骨</w:t>
            </w:r>
          </w:p>
        </w:tc>
      </w:tr>
      <w:tr w14:paraId="6FF2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A2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5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百部（对叶百部）</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5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1F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芦根</w:t>
            </w:r>
          </w:p>
        </w:tc>
      </w:tr>
      <w:tr w14:paraId="331E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96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8F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百合（卷丹）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E2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0A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鹿角</w:t>
            </w:r>
          </w:p>
        </w:tc>
      </w:tr>
      <w:tr w14:paraId="7A37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0A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14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柏子仁</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64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0F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路路通</w:t>
            </w:r>
          </w:p>
        </w:tc>
      </w:tr>
      <w:tr w14:paraId="0D60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84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BD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板蓝根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A6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C8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罗布麻叶</w:t>
            </w:r>
          </w:p>
        </w:tc>
      </w:tr>
      <w:tr w14:paraId="203D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D0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92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半枝莲</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DD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7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络石藤</w:t>
            </w:r>
          </w:p>
        </w:tc>
      </w:tr>
      <w:tr w14:paraId="26E9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6A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F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薄荷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A0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02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麻黄（草麻黄）</w:t>
            </w:r>
          </w:p>
        </w:tc>
      </w:tr>
      <w:tr w14:paraId="1BBD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FD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2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北柴胡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C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C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马鞭草</w:t>
            </w:r>
          </w:p>
        </w:tc>
      </w:tr>
      <w:tr w14:paraId="0374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BF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E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北沙参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D4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E3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麦冬（川麦冬）</w:t>
            </w:r>
          </w:p>
        </w:tc>
      </w:tr>
      <w:tr w14:paraId="4739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6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89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萹蓄</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74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89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麦芽</w:t>
            </w:r>
          </w:p>
        </w:tc>
      </w:tr>
      <w:tr w14:paraId="007F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08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C9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槟榔</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D6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A0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猫人参（对萼猕猴桃）</w:t>
            </w:r>
          </w:p>
        </w:tc>
      </w:tr>
      <w:tr w14:paraId="20A9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D9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45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冰片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EC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64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猫爪草</w:t>
            </w:r>
          </w:p>
        </w:tc>
      </w:tr>
      <w:tr w14:paraId="7DBE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48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B72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补骨脂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60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E8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没药</w:t>
            </w:r>
          </w:p>
        </w:tc>
      </w:tr>
      <w:tr w14:paraId="7786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CD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E5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蚕砂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D5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AE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玫瑰花</w:t>
            </w:r>
          </w:p>
        </w:tc>
      </w:tr>
      <w:tr w14:paraId="6464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E3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6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苍术（北苍术）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87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E0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梅花</w:t>
            </w:r>
          </w:p>
        </w:tc>
      </w:tr>
      <w:tr w14:paraId="4E85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DE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11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草豆蔻</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F6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8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密蒙花</w:t>
            </w:r>
          </w:p>
        </w:tc>
      </w:tr>
      <w:tr w14:paraId="588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81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35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侧柏炭</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70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50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蜜百部（对叶百部）</w:t>
            </w:r>
          </w:p>
        </w:tc>
      </w:tr>
      <w:tr w14:paraId="39F7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28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04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侧柏叶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74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59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蜜槐角</w:t>
            </w:r>
          </w:p>
        </w:tc>
      </w:tr>
      <w:tr w14:paraId="466B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73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9B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蝉蜕</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D8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63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蜜款冬花</w:t>
            </w:r>
          </w:p>
        </w:tc>
      </w:tr>
      <w:tr w14:paraId="5BD1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75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3E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燀桃仁（桃）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53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8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蜜麻黄（草麻黄）</w:t>
            </w:r>
          </w:p>
        </w:tc>
      </w:tr>
      <w:tr w14:paraId="1D10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B4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0E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炒白芍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54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38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蜜枇杷叶</w:t>
            </w:r>
          </w:p>
        </w:tc>
      </w:tr>
      <w:tr w14:paraId="1170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1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F8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炒槟榔</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79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88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蜜桑白皮</w:t>
            </w:r>
          </w:p>
        </w:tc>
      </w:tr>
      <w:tr w14:paraId="6C6B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97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47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炒苍耳子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37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F3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蜜紫菀</w:t>
            </w:r>
          </w:p>
        </w:tc>
      </w:tr>
      <w:tr w14:paraId="1F34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1C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6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炒川楝子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A5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88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绵马贯众</w:t>
            </w:r>
          </w:p>
        </w:tc>
      </w:tr>
      <w:tr w14:paraId="6590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78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D5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炒稻芽</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2E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A4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墨旱莲</w:t>
            </w:r>
          </w:p>
        </w:tc>
      </w:tr>
      <w:tr w14:paraId="4DFE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A2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04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炒防风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8D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3E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牡丹皮</w:t>
            </w:r>
          </w:p>
        </w:tc>
      </w:tr>
      <w:tr w14:paraId="2D78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97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07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炒鸡内金</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C9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9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牡蛎</w:t>
            </w:r>
          </w:p>
        </w:tc>
      </w:tr>
      <w:tr w14:paraId="4F70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4A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CE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炒蒺藜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97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73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木蝴蝶</w:t>
            </w:r>
          </w:p>
        </w:tc>
      </w:tr>
      <w:tr w14:paraId="63CB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0F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C4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炒莱菔子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63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64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木香</w:t>
            </w:r>
          </w:p>
        </w:tc>
      </w:tr>
      <w:tr w14:paraId="2013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7D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D7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炒路路通</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92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D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牛蒡子</w:t>
            </w:r>
          </w:p>
        </w:tc>
      </w:tr>
      <w:tr w14:paraId="1E72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EF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62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炒麦芽</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1B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0A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牛膝</w:t>
            </w:r>
          </w:p>
        </w:tc>
      </w:tr>
      <w:tr w14:paraId="550D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2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9E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炒蔓荆子（单叶蔓荆）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C6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87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女贞子</w:t>
            </w:r>
          </w:p>
        </w:tc>
      </w:tr>
      <w:tr w14:paraId="0E60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CF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47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炒牛蒡子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8D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16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胖大海</w:t>
            </w:r>
          </w:p>
        </w:tc>
      </w:tr>
      <w:tr w14:paraId="3551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CF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5A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炒山楂（山里红）</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BB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B7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炮姜</w:t>
            </w:r>
          </w:p>
        </w:tc>
      </w:tr>
      <w:tr w14:paraId="1683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98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C5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炒酸枣仁</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D1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36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佩兰</w:t>
            </w:r>
          </w:p>
        </w:tc>
      </w:tr>
      <w:tr w14:paraId="3A51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B2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65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炒土鳖虫（地鳖）</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A1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75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枇杷叶</w:t>
            </w:r>
          </w:p>
        </w:tc>
      </w:tr>
      <w:tr w14:paraId="6B56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01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5E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炒王不留行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36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88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蒲公英（碱地蒲公英）</w:t>
            </w:r>
          </w:p>
        </w:tc>
      </w:tr>
      <w:tr w14:paraId="5893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90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20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炒紫苏子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5A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B9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蒲黄（水烛香蒲）</w:t>
            </w:r>
          </w:p>
        </w:tc>
      </w:tr>
      <w:tr w14:paraId="29EE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C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88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车前草（车前）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83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DC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前胡</w:t>
            </w:r>
          </w:p>
        </w:tc>
      </w:tr>
      <w:tr w14:paraId="140B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D0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79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车前子（车前）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4D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EE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芡实</w:t>
            </w:r>
          </w:p>
        </w:tc>
      </w:tr>
      <w:tr w14:paraId="3884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7E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35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陈皮</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4A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15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茜草</w:t>
            </w:r>
          </w:p>
        </w:tc>
      </w:tr>
      <w:tr w14:paraId="3071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1C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C8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赤芍（芍药）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5E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97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羌活（羌活）</w:t>
            </w:r>
          </w:p>
        </w:tc>
      </w:tr>
      <w:tr w14:paraId="3611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37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49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川楝子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11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DA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秦艽（粗茎秦艽）</w:t>
            </w:r>
          </w:p>
        </w:tc>
      </w:tr>
      <w:tr w14:paraId="0B1D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B5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11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川木通（小木通）</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EE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41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秦皮（尖叶白蜡树）</w:t>
            </w:r>
          </w:p>
        </w:tc>
      </w:tr>
      <w:tr w14:paraId="6C4E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32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15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川牛膝</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1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7C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青蒿</w:t>
            </w:r>
          </w:p>
        </w:tc>
      </w:tr>
      <w:tr w14:paraId="3F17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64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DF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川芎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CE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BA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青皮（个青皮）</w:t>
            </w:r>
          </w:p>
        </w:tc>
      </w:tr>
      <w:tr w14:paraId="40A7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38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1D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穿山龙</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E5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84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瞿麦（石竹）</w:t>
            </w:r>
          </w:p>
        </w:tc>
      </w:tr>
      <w:tr w14:paraId="6B54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A5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8F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穿心莲</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42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238</w:t>
            </w:r>
          </w:p>
        </w:tc>
        <w:tc>
          <w:tcPr>
            <w:tcW w:w="4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拳参</w:t>
            </w:r>
          </w:p>
        </w:tc>
      </w:tr>
      <w:tr w14:paraId="3F82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BC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6E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垂盆草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7C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15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人参</w:t>
            </w:r>
          </w:p>
        </w:tc>
      </w:tr>
      <w:tr w14:paraId="45EA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B2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C2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刺五加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46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90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忍冬藤</w:t>
            </w:r>
          </w:p>
        </w:tc>
      </w:tr>
      <w:tr w14:paraId="5325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A5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1E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醋莪术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5B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96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肉苁蓉（管花肉苁蓉）</w:t>
            </w:r>
          </w:p>
        </w:tc>
      </w:tr>
      <w:tr w14:paraId="2C4B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33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03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醋龟甲</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14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09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肉豆蔻</w:t>
            </w:r>
          </w:p>
        </w:tc>
      </w:tr>
      <w:tr w14:paraId="1424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5E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14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醋青皮（个青皮）</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D1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EE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肉桂</w:t>
            </w:r>
          </w:p>
        </w:tc>
      </w:tr>
      <w:tr w14:paraId="495C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F4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E2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醋三棱</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9F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AC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乳香</w:t>
            </w:r>
          </w:p>
        </w:tc>
      </w:tr>
      <w:tr w14:paraId="1BA8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08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FE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醋五味子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86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5E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三七</w:t>
            </w:r>
          </w:p>
        </w:tc>
      </w:tr>
      <w:tr w14:paraId="2432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96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42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醋香附</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E3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0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桑白皮</w:t>
            </w:r>
          </w:p>
        </w:tc>
      </w:tr>
      <w:tr w14:paraId="56C4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69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EC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醋延胡索</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3E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3B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桑寄生</w:t>
            </w:r>
          </w:p>
        </w:tc>
      </w:tr>
      <w:tr w14:paraId="53AE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30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EA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大腹皮</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6E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06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桑椹</w:t>
            </w:r>
          </w:p>
        </w:tc>
      </w:tr>
      <w:tr w14:paraId="0899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73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DD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大黄（药用大黄）</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93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68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桑叶</w:t>
            </w:r>
          </w:p>
        </w:tc>
      </w:tr>
      <w:tr w14:paraId="0159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D5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E6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大蓟</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87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2D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桑枝</w:t>
            </w:r>
          </w:p>
        </w:tc>
      </w:tr>
      <w:tr w14:paraId="26D4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C2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A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大青叶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1B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D5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砂仁（阳春砂）</w:t>
            </w:r>
          </w:p>
        </w:tc>
      </w:tr>
      <w:tr w14:paraId="0E7D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38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D7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大血藤</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F1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04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山慈菇（独蒜兰）</w:t>
            </w:r>
          </w:p>
        </w:tc>
      </w:tr>
      <w:tr w14:paraId="1710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D5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8F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大枣</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A0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61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山香圆叶</w:t>
            </w:r>
          </w:p>
        </w:tc>
      </w:tr>
      <w:tr w14:paraId="063D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17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50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丹参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12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A0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山药</w:t>
            </w:r>
          </w:p>
        </w:tc>
      </w:tr>
      <w:tr w14:paraId="7A32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3B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C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淡竹叶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19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92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山萸肉</w:t>
            </w:r>
          </w:p>
        </w:tc>
      </w:tr>
      <w:tr w14:paraId="1AAD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0A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8C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当归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18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F0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山楂（山里红）</w:t>
            </w:r>
          </w:p>
        </w:tc>
      </w:tr>
      <w:tr w14:paraId="0446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77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43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党参（党参）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48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57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蛇床子</w:t>
            </w:r>
          </w:p>
        </w:tc>
      </w:tr>
      <w:tr w14:paraId="1DBE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15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4A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地肤子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0F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34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射干</w:t>
            </w:r>
          </w:p>
        </w:tc>
      </w:tr>
      <w:tr w14:paraId="06C8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39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6E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地骨皮（枸杞）</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8C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AB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伸筋草</w:t>
            </w:r>
          </w:p>
        </w:tc>
      </w:tr>
      <w:tr w14:paraId="708D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F5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B7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地锦草（斑地锦）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C4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84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升麻（大三叶升麻）</w:t>
            </w:r>
          </w:p>
        </w:tc>
      </w:tr>
      <w:tr w14:paraId="02B5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11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ED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地榆（地榆）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FC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72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生地黄</w:t>
            </w:r>
          </w:p>
        </w:tc>
      </w:tr>
      <w:tr w14:paraId="7BCA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CA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29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地榆炭</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33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B3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生姜</w:t>
            </w:r>
          </w:p>
        </w:tc>
      </w:tr>
      <w:tr w14:paraId="3DAD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F6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独活</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F9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7D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石膏</w:t>
            </w:r>
          </w:p>
        </w:tc>
      </w:tr>
      <w:tr w14:paraId="0B3B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05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F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杜仲</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91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1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石斛</w:t>
            </w:r>
          </w:p>
        </w:tc>
      </w:tr>
      <w:tr w14:paraId="6D39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F3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3E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煅牡蛎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6A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3F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石决明</w:t>
            </w:r>
          </w:p>
        </w:tc>
      </w:tr>
      <w:tr w14:paraId="39B8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3D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7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煅瓦楞子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F9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6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石榴皮</w:t>
            </w:r>
          </w:p>
        </w:tc>
      </w:tr>
      <w:tr w14:paraId="78C9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FF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98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煅自然铜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4D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C1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石韦（有柄石韦）</w:t>
            </w:r>
          </w:p>
        </w:tc>
      </w:tr>
      <w:tr w14:paraId="02A8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1A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F9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莪术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4C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1C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首乌藤</w:t>
            </w:r>
          </w:p>
        </w:tc>
      </w:tr>
      <w:tr w14:paraId="47D1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44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75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鹅不食草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32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36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熟大黄（药用大黄）</w:t>
            </w:r>
          </w:p>
        </w:tc>
      </w:tr>
      <w:tr w14:paraId="777B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DA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C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防风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98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E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熟地黄</w:t>
            </w:r>
          </w:p>
        </w:tc>
      </w:tr>
      <w:tr w14:paraId="6DE1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B4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83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防己</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CE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BD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水蛭</w:t>
            </w:r>
          </w:p>
        </w:tc>
      </w:tr>
      <w:tr w14:paraId="31A6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1C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37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凤尾草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0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C0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丝瓜络</w:t>
            </w:r>
          </w:p>
        </w:tc>
      </w:tr>
      <w:tr w14:paraId="1649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9F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53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麸炒白术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D7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F3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苏木</w:t>
            </w:r>
          </w:p>
        </w:tc>
      </w:tr>
      <w:tr w14:paraId="3C4C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44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51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麸炒苍术（北苍术）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DB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3D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娑罗子（天师栗）</w:t>
            </w:r>
          </w:p>
        </w:tc>
      </w:tr>
      <w:tr w14:paraId="596C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87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36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麸炒椿皮</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12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43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太子参</w:t>
            </w:r>
          </w:p>
        </w:tc>
      </w:tr>
      <w:tr w14:paraId="50E2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3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2E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麸炒衢枳壳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B3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65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烫骨碎补</w:t>
            </w:r>
          </w:p>
        </w:tc>
      </w:tr>
      <w:tr w14:paraId="2513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4A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EB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麸炒薏苡仁</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D1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15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藤梨根</w:t>
            </w:r>
          </w:p>
        </w:tc>
      </w:tr>
      <w:tr w14:paraId="729D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55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95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麸炒枳壳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1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3E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天冬</w:t>
            </w:r>
          </w:p>
        </w:tc>
      </w:tr>
      <w:tr w14:paraId="277F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00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3F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麸炒枳实（酸橙）</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4C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FE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天花粉（栝楼）</w:t>
            </w:r>
          </w:p>
        </w:tc>
      </w:tr>
      <w:tr w14:paraId="4642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0C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5E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佛手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64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B9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天葵子</w:t>
            </w:r>
          </w:p>
        </w:tc>
      </w:tr>
      <w:tr w14:paraId="10AC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F5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82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茯苓</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A8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B8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天麻</w:t>
            </w:r>
          </w:p>
        </w:tc>
      </w:tr>
      <w:tr w14:paraId="5FB1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2B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4B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茯神</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93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ED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葶苈子（播娘蒿）</w:t>
            </w:r>
          </w:p>
        </w:tc>
      </w:tr>
      <w:tr w14:paraId="32A0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78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00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浮小麦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9D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CF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土茯苓</w:t>
            </w:r>
          </w:p>
        </w:tc>
      </w:tr>
      <w:tr w14:paraId="12F8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6E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1E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覆盆子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27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DD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土荆皮</w:t>
            </w:r>
          </w:p>
        </w:tc>
      </w:tr>
      <w:tr w14:paraId="394A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38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09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甘草（甘草）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E3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0C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菟丝子（南方菟丝子）</w:t>
            </w:r>
          </w:p>
        </w:tc>
      </w:tr>
      <w:tr w14:paraId="1BA5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A9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EF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甘松</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F0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9D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威灵仙（东北铁线莲）</w:t>
            </w:r>
          </w:p>
        </w:tc>
      </w:tr>
      <w:tr w14:paraId="19DC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CC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A1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干姜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9E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0F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乌梅</w:t>
            </w:r>
          </w:p>
        </w:tc>
      </w:tr>
      <w:tr w14:paraId="62AB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80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09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高良姜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9B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CE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乌药</w:t>
            </w:r>
          </w:p>
        </w:tc>
      </w:tr>
      <w:tr w14:paraId="3DCD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F3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2F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藁本（辽藁本）</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5D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3D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吴茱萸（吴茱萸）</w:t>
            </w:r>
          </w:p>
        </w:tc>
      </w:tr>
      <w:tr w14:paraId="3B44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87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3A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葛根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AC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2A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五倍子</w:t>
            </w:r>
          </w:p>
        </w:tc>
      </w:tr>
      <w:tr w14:paraId="2012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4B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A5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钩藤（钩藤）</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B7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A1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五加皮</w:t>
            </w:r>
          </w:p>
        </w:tc>
      </w:tr>
      <w:tr w14:paraId="4FD6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32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4D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狗脊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B0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F9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五灵脂</w:t>
            </w:r>
          </w:p>
        </w:tc>
      </w:tr>
      <w:tr w14:paraId="38B5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0E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20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骨碎补</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FF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0E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西青果</w:t>
            </w:r>
          </w:p>
        </w:tc>
      </w:tr>
      <w:tr w14:paraId="1651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36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17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瓜蒌（栝楼）</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19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44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细辛（北细辛）</w:t>
            </w:r>
          </w:p>
        </w:tc>
      </w:tr>
      <w:tr w14:paraId="57D9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3F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C9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瓜蒌皮（双边栝楼）</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D1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10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夏枯草</w:t>
            </w:r>
          </w:p>
        </w:tc>
      </w:tr>
      <w:tr w14:paraId="12B5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14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AB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广藿香</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25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D7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仙鹤草</w:t>
            </w:r>
          </w:p>
        </w:tc>
      </w:tr>
      <w:tr w14:paraId="2FAF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22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49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广金钱草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CE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1E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仙灵脾（淫羊藿）</w:t>
            </w:r>
          </w:p>
        </w:tc>
      </w:tr>
      <w:tr w14:paraId="3906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7B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E5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桂枝</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8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4A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仙茅</w:t>
            </w:r>
          </w:p>
        </w:tc>
      </w:tr>
      <w:tr w14:paraId="4F1F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5D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F7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海金沙</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B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6A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香附</w:t>
            </w:r>
          </w:p>
        </w:tc>
      </w:tr>
      <w:tr w14:paraId="73BE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85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34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海螵蛸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A9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07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香橼（香圆）</w:t>
            </w:r>
          </w:p>
        </w:tc>
      </w:tr>
      <w:tr w14:paraId="4824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F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4E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诃子（诃子）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D6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B2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小茴香</w:t>
            </w:r>
          </w:p>
        </w:tc>
      </w:tr>
      <w:tr w14:paraId="7111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BF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9A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合欢花（合欢花）</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3E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C3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小蓟</w:t>
            </w:r>
          </w:p>
        </w:tc>
      </w:tr>
      <w:tr w14:paraId="7C55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25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C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合欢皮</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AE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8E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薤白（小根蒜）</w:t>
            </w:r>
          </w:p>
        </w:tc>
      </w:tr>
      <w:tr w14:paraId="13E1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AC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B5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何首乌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F2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26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辛夷（望春花）</w:t>
            </w:r>
          </w:p>
        </w:tc>
      </w:tr>
      <w:tr w14:paraId="3655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5C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F2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荷叶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7C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27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徐长卿</w:t>
            </w:r>
          </w:p>
        </w:tc>
      </w:tr>
      <w:tr w14:paraId="47DF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5E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6E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黑顺片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65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27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续断</w:t>
            </w:r>
          </w:p>
        </w:tc>
      </w:tr>
      <w:tr w14:paraId="074D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C0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4F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红花</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D0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0C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玄参</w:t>
            </w:r>
          </w:p>
        </w:tc>
      </w:tr>
      <w:tr w14:paraId="54FE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D5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1E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红景天</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58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3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旋覆花（旋覆花）</w:t>
            </w:r>
          </w:p>
        </w:tc>
      </w:tr>
      <w:tr w14:paraId="0932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4C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31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红曲</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39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E1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血竭</w:t>
            </w:r>
          </w:p>
        </w:tc>
      </w:tr>
      <w:tr w14:paraId="28ED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95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C7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厚朴（厚朴）</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F8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2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延胡索</w:t>
            </w:r>
          </w:p>
        </w:tc>
      </w:tr>
      <w:tr w14:paraId="2CFC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EF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B9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厚朴花（厚朴）</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9E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A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盐补骨脂</w:t>
            </w:r>
          </w:p>
        </w:tc>
      </w:tr>
      <w:tr w14:paraId="57D2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53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5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胡黄连</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BA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6B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盐车前子（车前）</w:t>
            </w:r>
          </w:p>
        </w:tc>
      </w:tr>
      <w:tr w14:paraId="2ABB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6E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E4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槲寄生</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8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77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盐杜仲</w:t>
            </w:r>
          </w:p>
        </w:tc>
      </w:tr>
      <w:tr w14:paraId="7C9A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77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59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虎杖</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F9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3A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盐黄柏</w:t>
            </w:r>
          </w:p>
        </w:tc>
      </w:tr>
      <w:tr w14:paraId="2FF2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30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77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琥珀</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F4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0F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盐菟丝子（南方菟丝子）</w:t>
            </w:r>
          </w:p>
        </w:tc>
      </w:tr>
      <w:tr w14:paraId="17F2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E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25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滑石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FE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46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盐续断</w:t>
            </w:r>
          </w:p>
        </w:tc>
      </w:tr>
      <w:tr w14:paraId="15F6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58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E1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淮小麦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97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5C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盐知母</w:t>
            </w:r>
          </w:p>
        </w:tc>
      </w:tr>
      <w:tr w14:paraId="60C2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61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A8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槐花（槐花）</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CB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6F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野菊花</w:t>
            </w:r>
          </w:p>
        </w:tc>
      </w:tr>
      <w:tr w14:paraId="2EAD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7E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F8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槐角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B9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48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益母草</w:t>
            </w:r>
          </w:p>
        </w:tc>
      </w:tr>
      <w:tr w14:paraId="0725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4B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3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35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48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薏苡仁</w:t>
            </w:r>
          </w:p>
        </w:tc>
      </w:tr>
      <w:tr w14:paraId="4623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3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4F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黄精（多花黄精）</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A4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D3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茵陈【滨蒿（绵茵陈）】</w:t>
            </w:r>
          </w:p>
        </w:tc>
      </w:tr>
      <w:tr w14:paraId="0DB9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91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D1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黄连（黄连）</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DC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8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银柴胡</w:t>
            </w:r>
          </w:p>
        </w:tc>
      </w:tr>
      <w:tr w14:paraId="3C76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87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A6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黄芪（蒙古黄芪）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E1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C3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淫羊藿（淫羊藿）</w:t>
            </w:r>
          </w:p>
        </w:tc>
      </w:tr>
      <w:tr w14:paraId="0F62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6F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FC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黄芩</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87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06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鱼腥草</w:t>
            </w:r>
          </w:p>
        </w:tc>
      </w:tr>
      <w:tr w14:paraId="5C21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3A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A9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火麻仁</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00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FA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玉米须</w:t>
            </w:r>
          </w:p>
        </w:tc>
      </w:tr>
      <w:tr w14:paraId="142D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34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7C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鸡内金</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27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72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郁金（温郁金）</w:t>
            </w:r>
          </w:p>
        </w:tc>
      </w:tr>
      <w:tr w14:paraId="1BFD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4B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EA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鸡血藤</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5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7B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郁李仁</w:t>
            </w:r>
          </w:p>
        </w:tc>
      </w:tr>
      <w:tr w14:paraId="3BF4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7C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71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积雪草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87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FF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预知子（三叶木通）</w:t>
            </w:r>
          </w:p>
        </w:tc>
      </w:tr>
      <w:tr w14:paraId="425C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AB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F6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蒺藜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57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CB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远志（远志）</w:t>
            </w:r>
          </w:p>
        </w:tc>
      </w:tr>
      <w:tr w14:paraId="5535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9B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21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姜半夏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92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B0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月季花</w:t>
            </w:r>
          </w:p>
        </w:tc>
      </w:tr>
      <w:tr w14:paraId="171D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8B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C0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姜厚朴（厚朴）</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4A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BA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皂角刺</w:t>
            </w:r>
          </w:p>
        </w:tc>
      </w:tr>
      <w:tr w14:paraId="7BBD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E4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99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焦六神曲</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C9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49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泽兰</w:t>
            </w:r>
          </w:p>
        </w:tc>
      </w:tr>
      <w:tr w14:paraId="7EE2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A5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51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焦山楂（山里红）</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DC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4C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泽泻（泽泻）</w:t>
            </w:r>
          </w:p>
        </w:tc>
      </w:tr>
      <w:tr w14:paraId="6757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EC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C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焦栀子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50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35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浙贝母</w:t>
            </w:r>
          </w:p>
        </w:tc>
      </w:tr>
      <w:tr w14:paraId="636B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D2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B9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绞股蓝</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99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95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浙金钱草</w:t>
            </w:r>
          </w:p>
        </w:tc>
      </w:tr>
      <w:tr w14:paraId="4A15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EE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6C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金钱草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72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AB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知母</w:t>
            </w:r>
          </w:p>
        </w:tc>
      </w:tr>
      <w:tr w14:paraId="6F3F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29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A6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金银花</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3B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88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栀子</w:t>
            </w:r>
          </w:p>
        </w:tc>
      </w:tr>
      <w:tr w14:paraId="5147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AE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06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金樱子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A1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1F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栀子根</w:t>
            </w:r>
          </w:p>
        </w:tc>
      </w:tr>
      <w:tr w14:paraId="1AE5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40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45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金樱子肉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F7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0E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枳壳</w:t>
            </w:r>
          </w:p>
        </w:tc>
      </w:tr>
      <w:tr w14:paraId="3473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43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A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荆芥</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B6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7A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枳实（酸橙）</w:t>
            </w:r>
          </w:p>
        </w:tc>
      </w:tr>
      <w:tr w14:paraId="36D5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5C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8A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酒白芍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4A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1C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制巴戟天</w:t>
            </w:r>
          </w:p>
        </w:tc>
      </w:tr>
      <w:tr w14:paraId="57F0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12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33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酒苁蓉（管花肉苁蓉）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9A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B7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制何首乌</w:t>
            </w:r>
          </w:p>
        </w:tc>
      </w:tr>
      <w:tr w14:paraId="1169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4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24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酒大黄（药用大黄）</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60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3E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制没药</w:t>
            </w:r>
          </w:p>
        </w:tc>
      </w:tr>
      <w:tr w14:paraId="67FE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E2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E0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酒丹参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0C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E6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制吴茱萸（吴茱萸）</w:t>
            </w:r>
          </w:p>
        </w:tc>
      </w:tr>
      <w:tr w14:paraId="448F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D8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E9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酒当归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18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7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炙甘草（甘草）</w:t>
            </w:r>
          </w:p>
        </w:tc>
      </w:tr>
      <w:tr w14:paraId="3371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C0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F2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酒地龙（参环毛蚓）</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10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82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炙黄芪（蒙古黄芪）</w:t>
            </w:r>
          </w:p>
        </w:tc>
      </w:tr>
      <w:tr w14:paraId="77EB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99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169</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1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酒黄精（多花黄精）</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4D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347</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DE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肿节风</w:t>
            </w:r>
          </w:p>
        </w:tc>
      </w:tr>
      <w:tr w14:paraId="0A07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D6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170</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CD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酒黄连（黄连）</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21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348</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85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重楼（云南重楼）</w:t>
            </w:r>
          </w:p>
        </w:tc>
      </w:tr>
      <w:tr w14:paraId="7792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2B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9B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酒黄芩</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7D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349</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4C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竹茹（青秆竹）</w:t>
            </w:r>
          </w:p>
        </w:tc>
      </w:tr>
      <w:tr w14:paraId="0D58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E6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7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酒女贞子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84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350</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57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苎麻根</w:t>
            </w:r>
          </w:p>
        </w:tc>
      </w:tr>
      <w:tr w14:paraId="78E6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0A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AA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酒萸肉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E2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351</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94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紫草（新疆紫草）</w:t>
            </w:r>
          </w:p>
        </w:tc>
      </w:tr>
      <w:tr w14:paraId="4D16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26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25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桔梗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D7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352</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71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紫花地丁</w:t>
            </w:r>
          </w:p>
        </w:tc>
      </w:tr>
      <w:tr w14:paraId="0309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A2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A7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菊花</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01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353</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35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紫苏梗</w:t>
            </w:r>
          </w:p>
        </w:tc>
      </w:tr>
      <w:tr w14:paraId="6416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5D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AC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橘核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2B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354</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A7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紫苏叶</w:t>
            </w:r>
          </w:p>
        </w:tc>
      </w:tr>
      <w:tr w14:paraId="4E57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3E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177</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03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橘红</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70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355</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35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紫苏子</w:t>
            </w:r>
          </w:p>
        </w:tc>
      </w:tr>
      <w:tr w14:paraId="0FF9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B1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178</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5E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决明子（钝叶决明）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4E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356</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29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紫菀</w:t>
            </w:r>
          </w:p>
        </w:tc>
      </w:tr>
    </w:tbl>
    <w:p w14:paraId="10BA042B">
      <w:pPr>
        <w:rPr>
          <w:rFonts w:hint="eastAsia" w:asciiTheme="minorEastAsia" w:hAnsiTheme="minorEastAsia" w:eastAsiaTheme="minorEastAsia" w:cstheme="minorEastAsia"/>
          <w:color w:val="auto"/>
          <w:sz w:val="24"/>
          <w:szCs w:val="22"/>
          <w:highlight w:val="none"/>
          <w:lang w:eastAsia="zh-CN"/>
        </w:rPr>
      </w:pPr>
      <w:r>
        <w:rPr>
          <w:rFonts w:hint="eastAsia" w:asciiTheme="minorEastAsia" w:hAnsiTheme="minorEastAsia" w:eastAsiaTheme="minorEastAsia" w:cstheme="minorEastAsia"/>
          <w:color w:val="auto"/>
          <w:sz w:val="24"/>
          <w:szCs w:val="22"/>
          <w:highlight w:val="none"/>
          <w:lang w:eastAsia="zh-CN"/>
        </w:rPr>
        <w:br w:type="page"/>
      </w:r>
    </w:p>
    <w:p w14:paraId="181B5580">
      <w:pPr>
        <w:pStyle w:val="7"/>
        <w:ind w:left="425"/>
        <w:outlineLvl w:val="2"/>
        <w:rPr>
          <w:rFonts w:hint="eastAsia" w:asciiTheme="minorEastAsia" w:hAnsiTheme="minorEastAsia" w:eastAsiaTheme="minorEastAsia" w:cstheme="minorEastAsia"/>
          <w:b/>
          <w:bCs/>
          <w:color w:val="auto"/>
          <w:sz w:val="24"/>
          <w:szCs w:val="22"/>
          <w:highlight w:val="none"/>
          <w:lang w:eastAsia="zh-CN"/>
        </w:rPr>
      </w:pPr>
      <w:r>
        <w:rPr>
          <w:rFonts w:hint="eastAsia" w:asciiTheme="minorEastAsia" w:hAnsiTheme="minorEastAsia" w:eastAsiaTheme="minorEastAsia" w:cstheme="minorEastAsia"/>
          <w:b/>
          <w:bCs/>
          <w:color w:val="auto"/>
          <w:sz w:val="24"/>
          <w:szCs w:val="22"/>
          <w:highlight w:val="none"/>
          <w:lang w:eastAsia="zh-CN"/>
        </w:rPr>
        <w:t>考核表</w:t>
      </w:r>
    </w:p>
    <w:tbl>
      <w:tblPr>
        <w:tblStyle w:val="27"/>
        <w:tblW w:w="8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1"/>
        <w:gridCol w:w="4935"/>
        <w:gridCol w:w="762"/>
        <w:gridCol w:w="1192"/>
      </w:tblGrid>
      <w:tr w14:paraId="48C0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8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ADD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2"/>
                <w:szCs w:val="32"/>
                <w:highlight w:val="none"/>
                <w:u w:val="none"/>
              </w:rPr>
            </w:pPr>
            <w:bookmarkStart w:id="18" w:name="_Toc274303251"/>
            <w:bookmarkStart w:id="19" w:name="_Toc362250703"/>
            <w:bookmarkStart w:id="20" w:name="_Toc226973000"/>
            <w:bookmarkStart w:id="21" w:name="_Toc362268017"/>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义乌市苏溪镇中心卫生院中药配方颗粒供货商年度服务考评表</w:t>
            </w:r>
          </w:p>
        </w:tc>
      </w:tr>
      <w:tr w14:paraId="4214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3E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被考评单位：</w:t>
            </w:r>
          </w:p>
        </w:tc>
      </w:tr>
      <w:tr w14:paraId="635E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DEA0">
            <w:pPr>
              <w:numPr>
                <w:ilvl w:val="0"/>
                <w:numId w:val="0"/>
              </w:numPr>
              <w:spacing w:line="360" w:lineRule="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Cs/>
                <w:color w:val="auto"/>
                <w:kern w:val="0"/>
                <w:sz w:val="24"/>
                <w:highlight w:val="none"/>
                <w:lang w:eastAsia="zh-CN"/>
              </w:rPr>
              <w:t>考核</w:t>
            </w:r>
            <w:r>
              <w:rPr>
                <w:rFonts w:hint="eastAsia" w:asciiTheme="minorEastAsia" w:hAnsiTheme="minorEastAsia" w:eastAsiaTheme="minorEastAsia" w:cstheme="minorEastAsia"/>
                <w:bCs/>
                <w:color w:val="auto"/>
                <w:kern w:val="0"/>
                <w:sz w:val="24"/>
                <w:highlight w:val="none"/>
                <w:lang w:val="en-US" w:eastAsia="zh-CN"/>
              </w:rPr>
              <w:t>得分大于等于90分为考核合格</w:t>
            </w:r>
          </w:p>
        </w:tc>
      </w:tr>
      <w:tr w14:paraId="76A1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9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97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评估内容</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9B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eastAsiaTheme="minorEastAsia" w:cstheme="minorEastAsia"/>
                <w:b/>
                <w:bCs/>
                <w:i w:val="0"/>
                <w:iCs w:val="0"/>
                <w:color w:val="000000"/>
                <w:sz w:val="24"/>
                <w:szCs w:val="24"/>
                <w:highlight w:val="none"/>
                <w:u w:val="none"/>
                <w:lang w:val="en-US" w:eastAsia="zh-CN"/>
              </w:rPr>
              <w:t>分值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6C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得分</w:t>
            </w:r>
          </w:p>
        </w:tc>
      </w:tr>
      <w:tr w14:paraId="7E2F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CC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资质证明</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1D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《营业执照》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C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C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1F9D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42B3A">
            <w:pPr>
              <w:jc w:val="center"/>
              <w:rPr>
                <w:rFonts w:hint="eastAsia" w:asciiTheme="minorEastAsia" w:hAnsiTheme="minorEastAsia" w:eastAsiaTheme="minorEastAsia" w:cstheme="minorEastAsia"/>
                <w:i w:val="0"/>
                <w:iCs w:val="0"/>
                <w:color w:val="000000"/>
                <w:sz w:val="24"/>
                <w:szCs w:val="24"/>
                <w:highlight w:val="none"/>
                <w:u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1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《药品生产许可证》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6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18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26F2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C86C">
            <w:pPr>
              <w:jc w:val="center"/>
              <w:rPr>
                <w:rFonts w:hint="eastAsia" w:asciiTheme="minorEastAsia" w:hAnsiTheme="minorEastAsia" w:eastAsiaTheme="minorEastAsia" w:cstheme="minorEastAsia"/>
                <w:i w:val="0"/>
                <w:iCs w:val="0"/>
                <w:color w:val="000000"/>
                <w:sz w:val="24"/>
                <w:szCs w:val="24"/>
                <w:highlight w:val="none"/>
                <w:u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B0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《医药产品廉洁购销协议》</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D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75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4EBB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76BE">
            <w:pPr>
              <w:jc w:val="center"/>
              <w:rPr>
                <w:rFonts w:hint="eastAsia" w:asciiTheme="minorEastAsia" w:hAnsiTheme="minorEastAsia" w:eastAsiaTheme="minorEastAsia" w:cstheme="minorEastAsia"/>
                <w:i w:val="0"/>
                <w:iCs w:val="0"/>
                <w:color w:val="000000"/>
                <w:sz w:val="24"/>
                <w:szCs w:val="24"/>
                <w:highlight w:val="none"/>
                <w:u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67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《质量保证协议》</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E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D4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2219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D8A1">
            <w:pPr>
              <w:jc w:val="center"/>
              <w:rPr>
                <w:rFonts w:hint="eastAsia" w:asciiTheme="minorEastAsia" w:hAnsiTheme="minorEastAsia" w:eastAsiaTheme="minorEastAsia" w:cstheme="minorEastAsia"/>
                <w:i w:val="0"/>
                <w:iCs w:val="0"/>
                <w:color w:val="000000"/>
                <w:sz w:val="24"/>
                <w:szCs w:val="24"/>
                <w:highlight w:val="none"/>
                <w:u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77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《授权委托书》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6B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0EA5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1D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药品供应情况</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F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供货品种数量情况，是否按医院需求供货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A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08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4838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CE13F">
            <w:pPr>
              <w:jc w:val="center"/>
              <w:rPr>
                <w:rFonts w:hint="eastAsia" w:asciiTheme="minorEastAsia" w:hAnsiTheme="minorEastAsia" w:eastAsiaTheme="minorEastAsia" w:cstheme="minorEastAsia"/>
                <w:i w:val="0"/>
                <w:iCs w:val="0"/>
                <w:color w:val="000000"/>
                <w:sz w:val="24"/>
                <w:szCs w:val="24"/>
                <w:highlight w:val="none"/>
                <w:u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37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药品断货情况，有无药品采购计划，及时补缺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29AD">
            <w:pPr>
              <w:keepNext w:val="0"/>
              <w:keepLines w:val="0"/>
              <w:widowControl/>
              <w:suppressLineNumbers w:val="0"/>
              <w:ind w:firstLine="242" w:firstLineChars="100"/>
              <w:jc w:val="both"/>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EA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70BF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031" w:type="dxa"/>
            <w:vMerge w:val="continue"/>
            <w:tcBorders>
              <w:left w:val="single" w:color="000000" w:sz="4" w:space="0"/>
              <w:bottom w:val="single" w:color="000000" w:sz="4" w:space="0"/>
              <w:right w:val="single" w:color="000000" w:sz="4" w:space="0"/>
            </w:tcBorders>
            <w:shd w:val="clear" w:color="auto" w:fill="auto"/>
            <w:vAlign w:val="center"/>
          </w:tcPr>
          <w:p w14:paraId="0BD7F258">
            <w:pPr>
              <w:keepNext w:val="0"/>
              <w:keepLines w:val="0"/>
              <w:widowControl/>
              <w:suppressLineNumbers w:val="0"/>
              <w:jc w:val="left"/>
              <w:textAlignment w:val="center"/>
              <w:rPr>
                <w:rFonts w:hint="eastAsia" w:asciiTheme="minorEastAsia" w:hAnsiTheme="minorEastAsia" w:eastAsiaTheme="minorEastAsia" w:cstheme="minorEastAsia"/>
                <w:highlight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FE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是否做好药品效期管理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2ADC">
            <w:pPr>
              <w:keepNext w:val="0"/>
              <w:keepLines w:val="0"/>
              <w:widowControl/>
              <w:suppressLineNumbers w:val="0"/>
              <w:ind w:firstLine="242" w:firstLineChars="10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36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722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BEC4">
            <w:pPr>
              <w:jc w:val="center"/>
              <w:rPr>
                <w:rFonts w:hint="eastAsia" w:asciiTheme="minorEastAsia" w:hAnsiTheme="minorEastAsia" w:eastAsiaTheme="minorEastAsia" w:cstheme="minorEastAsia"/>
                <w:i w:val="0"/>
                <w:iCs w:val="0"/>
                <w:color w:val="000000"/>
                <w:sz w:val="24"/>
                <w:szCs w:val="24"/>
                <w:highlight w:val="none"/>
                <w:u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7C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药品质检报告提供，是否出具药品质检报告单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1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FF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4DC9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2031" w:type="dxa"/>
            <w:vMerge w:val="restart"/>
            <w:tcBorders>
              <w:top w:val="single" w:color="000000" w:sz="4" w:space="0"/>
              <w:left w:val="single" w:color="000000" w:sz="4" w:space="0"/>
              <w:right w:val="single" w:color="000000" w:sz="4" w:space="0"/>
            </w:tcBorders>
            <w:shd w:val="clear" w:color="auto" w:fill="auto"/>
            <w:vAlign w:val="center"/>
          </w:tcPr>
          <w:p w14:paraId="27DA2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药品的验收与维护情况</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DD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药品的验收与维护情况</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1.及时登记药品验收记录，并保存妥善</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8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5A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1BEA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031" w:type="dxa"/>
            <w:vMerge w:val="continue"/>
            <w:tcBorders>
              <w:left w:val="single" w:color="000000" w:sz="4" w:space="0"/>
              <w:right w:val="single" w:color="000000" w:sz="4" w:space="0"/>
            </w:tcBorders>
            <w:shd w:val="clear" w:color="auto" w:fill="auto"/>
            <w:vAlign w:val="center"/>
          </w:tcPr>
          <w:p w14:paraId="2D12E9AA">
            <w:pPr>
              <w:keepNext w:val="0"/>
              <w:keepLines w:val="0"/>
              <w:widowControl/>
              <w:suppressLineNumbers w:val="0"/>
              <w:jc w:val="right"/>
              <w:textAlignment w:val="center"/>
              <w:rPr>
                <w:rFonts w:hint="eastAsia" w:asciiTheme="minorEastAsia" w:hAnsiTheme="minorEastAsia" w:eastAsiaTheme="minorEastAsia" w:cstheme="minorEastAsia"/>
                <w:highlight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D11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2.定期养护检查库存中的药品，检查是否有近效期品种和吸潮、结块现象，应及时换货并做好记录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0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A3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469A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031" w:type="dxa"/>
            <w:vMerge w:val="continue"/>
            <w:tcBorders>
              <w:left w:val="single" w:color="000000" w:sz="4" w:space="0"/>
              <w:bottom w:val="single" w:color="000000" w:sz="4" w:space="0"/>
              <w:right w:val="single" w:color="000000" w:sz="4" w:space="0"/>
            </w:tcBorders>
            <w:shd w:val="clear" w:color="auto" w:fill="auto"/>
            <w:vAlign w:val="center"/>
          </w:tcPr>
          <w:p w14:paraId="1DB10F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12E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3.药品贮存符合要求，先进先出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B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A4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389D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031" w:type="dxa"/>
            <w:vMerge w:val="restart"/>
            <w:tcBorders>
              <w:top w:val="single" w:color="000000" w:sz="4" w:space="0"/>
              <w:left w:val="single" w:color="000000" w:sz="4" w:space="0"/>
              <w:right w:val="single" w:color="000000" w:sz="4" w:space="0"/>
            </w:tcBorders>
            <w:shd w:val="clear" w:color="auto" w:fill="auto"/>
            <w:vAlign w:val="center"/>
          </w:tcPr>
          <w:p w14:paraId="61BA5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处方管理与质量监控</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0A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1.处方调配是否准确无误</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E078">
            <w:pPr>
              <w:keepNext w:val="0"/>
              <w:keepLines w:val="0"/>
              <w:widowControl/>
              <w:suppressLineNumbers w:val="0"/>
              <w:ind w:firstLine="242" w:firstLineChars="100"/>
              <w:jc w:val="both"/>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F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09D1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031" w:type="dxa"/>
            <w:vMerge w:val="continue"/>
            <w:tcBorders>
              <w:left w:val="single" w:color="000000" w:sz="4" w:space="0"/>
              <w:bottom w:val="single" w:color="000000" w:sz="4" w:space="0"/>
              <w:right w:val="single" w:color="000000" w:sz="4" w:space="0"/>
            </w:tcBorders>
            <w:shd w:val="clear" w:color="auto" w:fill="auto"/>
            <w:vAlign w:val="center"/>
          </w:tcPr>
          <w:p w14:paraId="3104DBD9">
            <w:pPr>
              <w:keepNext w:val="0"/>
              <w:keepLines w:val="0"/>
              <w:widowControl/>
              <w:suppressLineNumbers w:val="0"/>
              <w:jc w:val="left"/>
              <w:textAlignment w:val="center"/>
              <w:rPr>
                <w:rFonts w:hint="eastAsia" w:asciiTheme="minorEastAsia" w:hAnsiTheme="minorEastAsia" w:eastAsiaTheme="minorEastAsia" w:cstheme="minorEastAsia"/>
                <w:highlight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6B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2.处方管理是否合规</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F10B">
            <w:pPr>
              <w:keepNext w:val="0"/>
              <w:keepLines w:val="0"/>
              <w:widowControl/>
              <w:suppressLineNumbers w:val="0"/>
              <w:ind w:firstLine="242" w:firstLineChars="10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AA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9DA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031" w:type="dxa"/>
            <w:vMerge w:val="restart"/>
            <w:tcBorders>
              <w:top w:val="single" w:color="000000" w:sz="4" w:space="0"/>
              <w:left w:val="single" w:color="000000" w:sz="4" w:space="0"/>
              <w:right w:val="single" w:color="000000" w:sz="4" w:space="0"/>
            </w:tcBorders>
            <w:shd w:val="clear" w:color="auto" w:fill="auto"/>
            <w:vAlign w:val="center"/>
          </w:tcPr>
          <w:p w14:paraId="40BFC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调剂人员管理</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B8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调剂人员配备与管理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1.调剂人员配备数量，是否满足医院需求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B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36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1275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031" w:type="dxa"/>
            <w:vMerge w:val="continue"/>
            <w:tcBorders>
              <w:left w:val="single" w:color="000000" w:sz="4" w:space="0"/>
              <w:right w:val="single" w:color="000000" w:sz="4" w:space="0"/>
            </w:tcBorders>
            <w:shd w:val="clear" w:color="auto" w:fill="auto"/>
            <w:vAlign w:val="center"/>
          </w:tcPr>
          <w:p w14:paraId="210596F4">
            <w:pPr>
              <w:keepNext w:val="0"/>
              <w:keepLines w:val="0"/>
              <w:widowControl/>
              <w:suppressLineNumbers w:val="0"/>
              <w:jc w:val="left"/>
              <w:textAlignment w:val="center"/>
              <w:rPr>
                <w:rFonts w:hint="eastAsia" w:asciiTheme="minorEastAsia" w:hAnsiTheme="minorEastAsia" w:eastAsiaTheme="minorEastAsia" w:cstheme="minorEastAsia"/>
                <w:highlight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70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2.调剂人员是否有考勤制度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7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25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02D7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031" w:type="dxa"/>
            <w:vMerge w:val="continue"/>
            <w:tcBorders>
              <w:left w:val="single" w:color="000000" w:sz="4" w:space="0"/>
              <w:bottom w:val="single" w:color="000000" w:sz="4" w:space="0"/>
              <w:right w:val="single" w:color="000000" w:sz="4" w:space="0"/>
            </w:tcBorders>
            <w:shd w:val="clear" w:color="auto" w:fill="auto"/>
            <w:vAlign w:val="center"/>
          </w:tcPr>
          <w:p w14:paraId="492D22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93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3.调剂人员资质是否符合要求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A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B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2E6E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EC86">
            <w:pPr>
              <w:jc w:val="center"/>
              <w:rPr>
                <w:rFonts w:hint="eastAsia" w:asciiTheme="minorEastAsia" w:hAnsiTheme="minorEastAsia" w:eastAsiaTheme="minorEastAsia" w:cstheme="minorEastAsia"/>
                <w:i w:val="0"/>
                <w:iCs w:val="0"/>
                <w:color w:val="000000"/>
                <w:sz w:val="24"/>
                <w:szCs w:val="24"/>
                <w:highlight w:val="none"/>
                <w:u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3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配合药房管理工作（如药房排班、药品计划、近效期管理、季度盘存等）</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A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1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4C21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2031" w:type="dxa"/>
            <w:vMerge w:val="restart"/>
            <w:tcBorders>
              <w:top w:val="single" w:color="000000" w:sz="4" w:space="0"/>
              <w:left w:val="single" w:color="000000" w:sz="4" w:space="0"/>
              <w:right w:val="single" w:color="000000" w:sz="4" w:space="0"/>
            </w:tcBorders>
            <w:shd w:val="clear" w:color="auto" w:fill="auto"/>
            <w:vAlign w:val="center"/>
          </w:tcPr>
          <w:p w14:paraId="7E081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设备配备及设备维护</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C4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调剂设备配备</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1.是否按要求提供调剂设备配备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2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3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F68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2031" w:type="dxa"/>
            <w:vMerge w:val="continue"/>
            <w:tcBorders>
              <w:left w:val="single" w:color="000000" w:sz="4" w:space="0"/>
              <w:right w:val="single" w:color="000000" w:sz="4" w:space="0"/>
            </w:tcBorders>
            <w:shd w:val="clear" w:color="auto" w:fill="auto"/>
            <w:vAlign w:val="center"/>
          </w:tcPr>
          <w:p w14:paraId="7406B5D4">
            <w:pPr>
              <w:keepNext w:val="0"/>
              <w:keepLines w:val="0"/>
              <w:widowControl/>
              <w:suppressLineNumbers w:val="0"/>
              <w:jc w:val="right"/>
              <w:textAlignment w:val="center"/>
              <w:rPr>
                <w:rFonts w:hint="eastAsia" w:asciiTheme="minorEastAsia" w:hAnsiTheme="minorEastAsia" w:eastAsiaTheme="minorEastAsia" w:cstheme="minorEastAsia"/>
                <w:highlight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322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2.调剂设备数量是否满足临床需求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7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EA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39DC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2031" w:type="dxa"/>
            <w:vMerge w:val="continue"/>
            <w:tcBorders>
              <w:left w:val="single" w:color="000000" w:sz="4" w:space="0"/>
              <w:bottom w:val="single" w:color="000000" w:sz="4" w:space="0"/>
              <w:right w:val="single" w:color="000000" w:sz="4" w:space="0"/>
            </w:tcBorders>
            <w:shd w:val="clear" w:color="auto" w:fill="auto"/>
            <w:vAlign w:val="center"/>
          </w:tcPr>
          <w:p w14:paraId="289A5B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26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3.配套相应耗材提供情况</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4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4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BC4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6258">
            <w:pPr>
              <w:jc w:val="center"/>
              <w:rPr>
                <w:rFonts w:hint="eastAsia" w:asciiTheme="minorEastAsia" w:hAnsiTheme="minorEastAsia" w:eastAsiaTheme="minorEastAsia" w:cstheme="minorEastAsia"/>
                <w:i w:val="0"/>
                <w:iCs w:val="0"/>
                <w:color w:val="000000"/>
                <w:sz w:val="24"/>
                <w:szCs w:val="24"/>
                <w:highlight w:val="none"/>
                <w:u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D7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设备维护保养情况</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1.定期做好设备清洁维护</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2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FF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600D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67D6">
            <w:pPr>
              <w:keepNext w:val="0"/>
              <w:keepLines w:val="0"/>
              <w:widowControl/>
              <w:suppressLineNumbers w:val="0"/>
              <w:jc w:val="left"/>
              <w:textAlignment w:val="center"/>
              <w:rPr>
                <w:rFonts w:hint="eastAsia" w:asciiTheme="minorEastAsia" w:hAnsiTheme="minorEastAsia" w:eastAsiaTheme="minorEastAsia" w:cstheme="minorEastAsia"/>
                <w:highlight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02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2.设备故障是否及时处理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7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D1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F9B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763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83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3.定期做好智能调配系统维护并做好记录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3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E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1242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1" w:type="dxa"/>
            <w:vMerge w:val="continue"/>
            <w:tcBorders>
              <w:left w:val="single" w:color="000000" w:sz="4" w:space="0"/>
              <w:bottom w:val="single" w:color="000000" w:sz="4" w:space="0"/>
              <w:right w:val="single" w:color="000000" w:sz="4" w:space="0"/>
            </w:tcBorders>
            <w:shd w:val="clear" w:color="auto" w:fill="auto"/>
            <w:vAlign w:val="center"/>
          </w:tcPr>
          <w:p w14:paraId="4B90C2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91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4.系统故障是否及时处理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6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6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78FC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031" w:type="dxa"/>
            <w:vMerge w:val="restart"/>
            <w:tcBorders>
              <w:top w:val="single" w:color="000000" w:sz="4" w:space="0"/>
              <w:left w:val="single" w:color="000000" w:sz="4" w:space="0"/>
              <w:right w:val="single" w:color="000000" w:sz="4" w:space="0"/>
            </w:tcBorders>
            <w:shd w:val="clear" w:color="auto" w:fill="auto"/>
            <w:vAlign w:val="center"/>
          </w:tcPr>
          <w:p w14:paraId="68AAC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患者临床满意度</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49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1.有无患者投诉、科室投诉</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5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2A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C55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2031" w:type="dxa"/>
            <w:vMerge w:val="continue"/>
            <w:tcBorders>
              <w:left w:val="single" w:color="000000" w:sz="4" w:space="0"/>
              <w:bottom w:val="single" w:color="000000" w:sz="4" w:space="0"/>
              <w:right w:val="single" w:color="000000" w:sz="4" w:space="0"/>
            </w:tcBorders>
            <w:shd w:val="clear" w:color="auto" w:fill="auto"/>
            <w:vAlign w:val="center"/>
          </w:tcPr>
          <w:p w14:paraId="1F9BFED3">
            <w:pPr>
              <w:keepNext w:val="0"/>
              <w:keepLines w:val="0"/>
              <w:widowControl/>
              <w:suppressLineNumbers w:val="0"/>
              <w:jc w:val="right"/>
              <w:textAlignment w:val="center"/>
              <w:rPr>
                <w:rFonts w:hint="eastAsia" w:asciiTheme="minorEastAsia" w:hAnsiTheme="minorEastAsia" w:eastAsiaTheme="minorEastAsia" w:cstheme="minorEastAsia"/>
                <w:highlight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1A1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2.有无投诉记录和整改措施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2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7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082C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98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投标承诺履行情况</w:t>
            </w:r>
          </w:p>
        </w:tc>
        <w:tc>
          <w:tcPr>
            <w:tcW w:w="4935" w:type="dxa"/>
            <w:tcBorders>
              <w:top w:val="single" w:color="000000" w:sz="4" w:space="0"/>
              <w:left w:val="single" w:color="000000" w:sz="4" w:space="0"/>
              <w:right w:val="single" w:color="000000" w:sz="4" w:space="0"/>
            </w:tcBorders>
            <w:shd w:val="clear" w:color="auto" w:fill="auto"/>
            <w:vAlign w:val="center"/>
          </w:tcPr>
          <w:p w14:paraId="3C0CBB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配送时长承诺（常规药品48小时内配送到位，紧急药品4小时内配送到位）</w:t>
            </w:r>
          </w:p>
        </w:tc>
        <w:tc>
          <w:tcPr>
            <w:tcW w:w="762" w:type="dxa"/>
            <w:tcBorders>
              <w:top w:val="single" w:color="000000" w:sz="4" w:space="0"/>
              <w:left w:val="single" w:color="000000" w:sz="4" w:space="0"/>
              <w:right w:val="single" w:color="000000" w:sz="4" w:space="0"/>
            </w:tcBorders>
            <w:shd w:val="clear" w:color="auto" w:fill="auto"/>
            <w:vAlign w:val="center"/>
          </w:tcPr>
          <w:p w14:paraId="4DF1E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10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2FC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031" w:type="dxa"/>
            <w:vMerge w:val="continue"/>
            <w:tcBorders>
              <w:left w:val="single" w:color="000000" w:sz="4" w:space="0"/>
              <w:right w:val="single" w:color="000000" w:sz="4" w:space="0"/>
            </w:tcBorders>
            <w:shd w:val="clear" w:color="auto" w:fill="auto"/>
            <w:vAlign w:val="center"/>
          </w:tcPr>
          <w:p w14:paraId="403C2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4935" w:type="dxa"/>
            <w:tcBorders>
              <w:top w:val="single" w:color="000000" w:sz="4" w:space="0"/>
              <w:left w:val="single" w:color="000000" w:sz="4" w:space="0"/>
              <w:right w:val="single" w:color="000000" w:sz="4" w:space="0"/>
            </w:tcBorders>
            <w:shd w:val="clear" w:color="auto" w:fill="auto"/>
            <w:vAlign w:val="center"/>
          </w:tcPr>
          <w:p w14:paraId="4243ED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入库有效期不少于12个月（有特殊药品除外）</w:t>
            </w:r>
          </w:p>
        </w:tc>
        <w:tc>
          <w:tcPr>
            <w:tcW w:w="762" w:type="dxa"/>
            <w:tcBorders>
              <w:top w:val="single" w:color="000000" w:sz="4" w:space="0"/>
              <w:left w:val="single" w:color="000000" w:sz="4" w:space="0"/>
              <w:right w:val="single" w:color="000000" w:sz="4" w:space="0"/>
            </w:tcBorders>
            <w:shd w:val="clear" w:color="auto" w:fill="auto"/>
            <w:vAlign w:val="center"/>
          </w:tcPr>
          <w:p w14:paraId="0EF8A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DA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29D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9648">
            <w:pPr>
              <w:jc w:val="center"/>
              <w:rPr>
                <w:rFonts w:hint="eastAsia" w:asciiTheme="minorEastAsia" w:hAnsiTheme="minorEastAsia" w:eastAsiaTheme="minorEastAsia" w:cstheme="minorEastAsia"/>
                <w:i w:val="0"/>
                <w:iCs w:val="0"/>
                <w:color w:val="000000"/>
                <w:sz w:val="24"/>
                <w:szCs w:val="24"/>
                <w:highlight w:val="none"/>
                <w:u w:val="none"/>
              </w:rPr>
            </w:pP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D9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院内制剂研发情况</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10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4C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01BD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E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考评总得分</w:t>
            </w:r>
          </w:p>
        </w:tc>
        <w:tc>
          <w:tcPr>
            <w:tcW w:w="6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8EA99">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2"/>
                <w:szCs w:val="22"/>
                <w:highlight w:val="none"/>
                <w:u w:val="none"/>
              </w:rPr>
            </w:pPr>
          </w:p>
        </w:tc>
      </w:tr>
      <w:tr w14:paraId="3631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7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考评意见建议</w:t>
            </w:r>
          </w:p>
        </w:tc>
        <w:tc>
          <w:tcPr>
            <w:tcW w:w="6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BE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706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2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考评小组签字：</w:t>
            </w:r>
          </w:p>
        </w:tc>
        <w:tc>
          <w:tcPr>
            <w:tcW w:w="6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7153F">
            <w:pPr>
              <w:jc w:val="center"/>
              <w:rPr>
                <w:rFonts w:hint="eastAsia" w:asciiTheme="minorEastAsia" w:hAnsiTheme="minorEastAsia" w:eastAsiaTheme="minorEastAsia" w:cstheme="minorEastAsia"/>
                <w:i w:val="0"/>
                <w:iCs w:val="0"/>
                <w:color w:val="000000"/>
                <w:sz w:val="22"/>
                <w:szCs w:val="22"/>
                <w:highlight w:val="none"/>
                <w:u w:val="none"/>
              </w:rPr>
            </w:pPr>
          </w:p>
        </w:tc>
      </w:tr>
      <w:tr w14:paraId="1883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D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日期：</w:t>
            </w:r>
          </w:p>
        </w:tc>
        <w:tc>
          <w:tcPr>
            <w:tcW w:w="6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896BC">
            <w:pPr>
              <w:jc w:val="center"/>
              <w:rPr>
                <w:rFonts w:hint="eastAsia" w:asciiTheme="minorEastAsia" w:hAnsiTheme="minorEastAsia" w:eastAsiaTheme="minorEastAsia" w:cstheme="minorEastAsia"/>
                <w:i w:val="0"/>
                <w:iCs w:val="0"/>
                <w:color w:val="000000"/>
                <w:sz w:val="22"/>
                <w:szCs w:val="22"/>
                <w:highlight w:val="none"/>
                <w:u w:val="none"/>
              </w:rPr>
            </w:pPr>
          </w:p>
        </w:tc>
      </w:tr>
    </w:tbl>
    <w:p w14:paraId="67AA5D21">
      <w:pPr>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rPr>
        <w:br w:type="page"/>
      </w:r>
    </w:p>
    <w:p w14:paraId="791CC2BA">
      <w:pPr>
        <w:pStyle w:val="2"/>
        <w:numPr>
          <w:ilvl w:val="0"/>
          <w:numId w:val="1"/>
        </w:numPr>
        <w:spacing w:before="0" w:after="0" w:line="360" w:lineRule="auto"/>
        <w:jc w:val="center"/>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rPr>
        <w:t>开标、评标和定标须知</w:t>
      </w:r>
      <w:bookmarkEnd w:id="18"/>
      <w:bookmarkEnd w:id="19"/>
      <w:bookmarkEnd w:id="20"/>
    </w:p>
    <w:bookmarkEnd w:id="21"/>
    <w:p w14:paraId="3D59DE46">
      <w:pPr>
        <w:pStyle w:val="3"/>
        <w:pageBreakBefore w:val="0"/>
        <w:widowControl w:val="0"/>
        <w:kinsoku/>
        <w:wordWrap/>
        <w:overflowPunct/>
        <w:topLinePunct w:val="0"/>
        <w:autoSpaceDE/>
        <w:autoSpaceDN/>
        <w:bidi w:val="0"/>
        <w:adjustRightInd/>
        <w:snapToGrid/>
        <w:spacing w:before="0" w:after="0"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bookmarkStart w:id="22" w:name="_Toc274303252"/>
      <w:bookmarkStart w:id="23" w:name="_Toc362250704"/>
      <w:r>
        <w:rPr>
          <w:rFonts w:hint="eastAsia" w:asciiTheme="minorEastAsia" w:hAnsiTheme="minorEastAsia" w:eastAsiaTheme="minorEastAsia" w:cstheme="minorEastAsia"/>
          <w:color w:val="auto"/>
          <w:sz w:val="24"/>
          <w:szCs w:val="24"/>
          <w:highlight w:val="none"/>
        </w:rPr>
        <w:t>一、开标</w:t>
      </w:r>
      <w:bookmarkEnd w:id="22"/>
      <w:bookmarkEnd w:id="23"/>
      <w:r>
        <w:rPr>
          <w:rFonts w:hint="eastAsia" w:asciiTheme="minorEastAsia" w:hAnsiTheme="minorEastAsia" w:eastAsiaTheme="minorEastAsia" w:cstheme="minorEastAsia"/>
          <w:color w:val="auto"/>
          <w:sz w:val="24"/>
          <w:szCs w:val="24"/>
          <w:highlight w:val="none"/>
        </w:rPr>
        <w:t>（供应商通过视频会议系统方式远程参与）。</w:t>
      </w:r>
    </w:p>
    <w:p w14:paraId="18F0F792">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本项目开标程序按照“不见面开标”的要求组织开标。</w:t>
      </w:r>
    </w:p>
    <w:p w14:paraId="207FC96C">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招标代理机构按本招标文件的采购公告中规定的日期、时间和地点组织公开开标。</w:t>
      </w:r>
    </w:p>
    <w:p w14:paraId="1898751B">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开标程序：</w:t>
      </w:r>
    </w:p>
    <w:p w14:paraId="48FF115D">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2.1开标由采购人或委托招标代理机构主持；</w:t>
      </w:r>
    </w:p>
    <w:p w14:paraId="2BF616A3">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（1）宣布开标纪律</w:t>
      </w:r>
    </w:p>
    <w:p w14:paraId="5E06729F">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（2）公布在投标截止时间前递交投标文件的投标人名称。</w:t>
      </w:r>
    </w:p>
    <w:p w14:paraId="6F16951C">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（3）宣布开标人、唱标人、记录人等有关人员。</w:t>
      </w:r>
    </w:p>
    <w:p w14:paraId="2E0F44D7">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2.2开标前由采购人和招标代理机构工作人员共同检查投标书受理情况；采购代理机构开评标管理人员和采购人监督人员一起负责检查投标文件密封的完整性并签字确认。</w:t>
      </w:r>
    </w:p>
    <w:p w14:paraId="70E35E51">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2.3待商务技术响应文件评审结束，进行报价响应文件开启。在报价响应文件开启时，由采购单位监督人现场检查报价响应文件密封情况和监督唱标情况。开评标管理人员在开标室内拆封商务技术响应文件合格的投标人的报价响应文件，并通过视频会议系统向参与投标的供应商宣读投标人名称、供货价格和投标文件的其他主要内容；同时由记录人、采购单位监督人当场签字确认。</w:t>
      </w:r>
    </w:p>
    <w:p w14:paraId="16ACA040">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2.4采购代理机构做开标记录，并由记录人、采购人当场签字确认。</w:t>
      </w:r>
    </w:p>
    <w:p w14:paraId="1D860073">
      <w:pPr>
        <w:pStyle w:val="3"/>
        <w:pageBreakBefore w:val="0"/>
        <w:widowControl w:val="0"/>
        <w:kinsoku/>
        <w:wordWrap/>
        <w:overflowPunct/>
        <w:topLinePunct w:val="0"/>
        <w:autoSpaceDE/>
        <w:autoSpaceDN/>
        <w:bidi w:val="0"/>
        <w:adjustRightInd/>
        <w:snapToGrid/>
        <w:spacing w:before="0" w:after="0"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bookmarkStart w:id="24" w:name="_Toc263090375"/>
      <w:bookmarkStart w:id="25" w:name="_Toc362250705"/>
      <w:bookmarkStart w:id="26" w:name="_Toc226973002"/>
      <w:bookmarkStart w:id="27" w:name="_Toc274303253"/>
      <w:bookmarkStart w:id="28" w:name="_Toc261519847"/>
      <w:r>
        <w:rPr>
          <w:rFonts w:hint="eastAsia" w:asciiTheme="minorEastAsia" w:hAnsiTheme="minorEastAsia" w:eastAsiaTheme="minorEastAsia" w:cstheme="minorEastAsia"/>
          <w:color w:val="auto"/>
          <w:sz w:val="24"/>
          <w:szCs w:val="24"/>
          <w:highlight w:val="none"/>
        </w:rPr>
        <w:t>二、评标</w:t>
      </w:r>
      <w:bookmarkEnd w:id="24"/>
      <w:bookmarkEnd w:id="25"/>
      <w:bookmarkEnd w:id="26"/>
      <w:bookmarkEnd w:id="27"/>
      <w:bookmarkEnd w:id="28"/>
    </w:p>
    <w:p w14:paraId="5F132D8B">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w:t>
      </w:r>
      <w:r>
        <w:rPr>
          <w:rFonts w:hint="eastAsia" w:asciiTheme="minorEastAsia" w:hAnsiTheme="minorEastAsia" w:eastAsiaTheme="minorEastAsia" w:cstheme="minorEastAsia"/>
          <w:b/>
          <w:color w:val="auto"/>
          <w:kern w:val="0"/>
          <w:sz w:val="24"/>
          <w:szCs w:val="24"/>
          <w:highlight w:val="none"/>
        </w:rPr>
        <w:t>评标小组</w:t>
      </w:r>
    </w:p>
    <w:p w14:paraId="56AEA8AC">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评标小组将根据招标采购项目的特点确定。其成员由技术等方面专家和采购人代表5人及以上单数组成。评标小组对投标文件进行审查、质疑、评估和比较。</w:t>
      </w:r>
    </w:p>
    <w:p w14:paraId="69A40099">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评标原则</w:t>
      </w:r>
    </w:p>
    <w:p w14:paraId="4DB444D3">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4.1评标小组将遵循公开、公平、公正的原则，严格遵守评标工作纪律。</w:t>
      </w:r>
    </w:p>
    <w:p w14:paraId="68A6F76D">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4.2</w:t>
      </w:r>
      <w:r>
        <w:rPr>
          <w:rFonts w:hint="eastAsia" w:asciiTheme="minorEastAsia" w:hAnsiTheme="minorEastAsia" w:eastAsiaTheme="minorEastAsia" w:cstheme="minorEastAsia"/>
          <w:bCs/>
          <w:color w:val="auto"/>
          <w:sz w:val="24"/>
          <w:szCs w:val="24"/>
          <w:highlight w:val="none"/>
        </w:rPr>
        <w:t>先开商务技术响应文件，再开报价响应文件。</w:t>
      </w:r>
    </w:p>
    <w:p w14:paraId="2E206583">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4.3</w:t>
      </w:r>
      <w:r>
        <w:rPr>
          <w:rFonts w:hint="eastAsia" w:asciiTheme="minorEastAsia" w:hAnsiTheme="minorEastAsia" w:eastAsiaTheme="minorEastAsia" w:cstheme="minorEastAsia"/>
          <w:color w:val="auto"/>
          <w:sz w:val="24"/>
          <w:szCs w:val="24"/>
          <w:highlight w:val="none"/>
        </w:rPr>
        <w:t>客观公正对待所有投标人，对所有投标评标均采用相同的程序和标准。评标的依据为招标文件和投标文件。</w:t>
      </w:r>
    </w:p>
    <w:p w14:paraId="211CF1CF">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4.4有利于提高政府投资效益，节约建设资金。</w:t>
      </w:r>
    </w:p>
    <w:p w14:paraId="11DD15BF">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4.5在评标过程中，出现异常或特殊情况时，由评标小组集体讨论决定。</w:t>
      </w:r>
    </w:p>
    <w:p w14:paraId="51FB6FC7">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5</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评标过程的保密</w:t>
      </w:r>
    </w:p>
    <w:p w14:paraId="303F88C5">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5.1开标后，直至授予中标人合同为止，凡属于对投标文件的审查、澄清、评价和比较等有关的资料以及中标人的确定情况等与评标有关的任何情况均严格保密。</w:t>
      </w:r>
    </w:p>
    <w:p w14:paraId="74D0901C">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5.2在投标文件的评标和比较、中标人的确定以及授予合同的过程中，投标人向采购人和评标小组施加影响的任何行为，都将会导致其投标被拒绝。</w:t>
      </w:r>
    </w:p>
    <w:p w14:paraId="5AFDA5E2">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5.3中标人确认后，采购人不对未中标人就评标过程以及未能中标原因作出任何解释。未中标人不得向评标小组人员或其他有关人员索问评标过程的全部情况。</w:t>
      </w:r>
    </w:p>
    <w:p w14:paraId="4632A4A0">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5.4</w:t>
      </w:r>
      <w:r>
        <w:rPr>
          <w:rFonts w:hint="eastAsia" w:asciiTheme="minorEastAsia" w:hAnsiTheme="minorEastAsia" w:eastAsiaTheme="minorEastAsia" w:cstheme="minorEastAsia"/>
          <w:color w:val="auto"/>
          <w:spacing w:val="-4"/>
          <w:sz w:val="24"/>
          <w:szCs w:val="24"/>
          <w:highlight w:val="none"/>
        </w:rPr>
        <w:t>为保证定标的公正性，在评标过程中，评标成员不得与投标人私人交换意见。在招标工作结束后，凡与评标情况有接触的任何人不得也不应将评标情况扩散出评标成员之外。</w:t>
      </w:r>
    </w:p>
    <w:p w14:paraId="5261CE89">
      <w:pPr>
        <w:pStyle w:val="13"/>
        <w:pageBreakBefore w:val="0"/>
        <w:widowControl w:val="0"/>
        <w:tabs>
          <w:tab w:val="left" w:pos="0"/>
        </w:tabs>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5.5评标小组不向落标方解释落标原因，不退还投标文件。</w:t>
      </w:r>
    </w:p>
    <w:p w14:paraId="779A313A">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投标人的认定</w:t>
      </w:r>
    </w:p>
    <w:p w14:paraId="647CD11E">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pacing w:val="-4"/>
          <w:sz w:val="24"/>
          <w:szCs w:val="24"/>
          <w:highlight w:val="none"/>
        </w:rPr>
      </w:pPr>
      <w:bookmarkStart w:id="29" w:name="_Hlk24447288"/>
      <w:r>
        <w:rPr>
          <w:rFonts w:hint="eastAsia" w:asciiTheme="minorEastAsia" w:hAnsiTheme="minorEastAsia" w:eastAsiaTheme="minorEastAsia" w:cstheme="minorEastAsia"/>
          <w:color w:val="auto"/>
          <w:sz w:val="24"/>
          <w:szCs w:val="24"/>
          <w:highlight w:val="none"/>
        </w:rPr>
        <w:t>单位负责人为同一人或者存在直接控股、管理关系的不同供应商，不得参加同一合同项下的政府采购活动。</w:t>
      </w:r>
      <w:bookmarkEnd w:id="29"/>
    </w:p>
    <w:p w14:paraId="2786FA7E">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投标文件的澄清</w:t>
      </w:r>
    </w:p>
    <w:p w14:paraId="1D3BD55E">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7.1为有助于投标文件的审查、评价和比较，评标小组可以以书面形式要求投标人对投标文件含义不明确的内容</w:t>
      </w:r>
      <w:r>
        <w:rPr>
          <w:rFonts w:hint="eastAsia" w:asciiTheme="minorEastAsia" w:hAnsiTheme="minorEastAsia" w:eastAsiaTheme="minorEastAsia" w:cstheme="minorEastAsia"/>
          <w:b/>
          <w:color w:val="auto"/>
          <w:sz w:val="24"/>
          <w:szCs w:val="24"/>
          <w:highlight w:val="none"/>
          <w:lang w:eastAsia="zh-CN"/>
        </w:rPr>
        <w:t>做必要</w:t>
      </w:r>
      <w:r>
        <w:rPr>
          <w:rFonts w:hint="eastAsia" w:asciiTheme="minorEastAsia" w:hAnsiTheme="minorEastAsia" w:eastAsiaTheme="minorEastAsia" w:cstheme="minorEastAsia"/>
          <w:b/>
          <w:color w:val="auto"/>
          <w:sz w:val="24"/>
          <w:szCs w:val="24"/>
          <w:highlight w:val="none"/>
        </w:rPr>
        <w:t>的澄清或说明，投标人应采用书面形式进行澄清或说明，但不得超出投标文件的范围或改变投标文件的实质性内容。根据本须知第9条规定，凡属于评标小组在评标中发现的计算错误并进行核实的修改不在此列。</w:t>
      </w:r>
    </w:p>
    <w:p w14:paraId="3662ADEA">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投标文件的初步评标</w:t>
      </w:r>
    </w:p>
    <w:p w14:paraId="4AD22E66">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8.1开标后，采购人应将投标文件提交评标小组进行初步评标，初步评标内容为：</w:t>
      </w:r>
    </w:p>
    <w:p w14:paraId="1D48DFDF">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8.1.1是否出现第五章规定的内容；</w:t>
      </w:r>
    </w:p>
    <w:p w14:paraId="290AAF95">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违反上述情形之一者，商务技术响应文件或报价响应文件初步评标不予通过，不列入报价响应文件详细评标。</w:t>
      </w:r>
    </w:p>
    <w:p w14:paraId="645D9474">
      <w:pPr>
        <w:pageBreakBefore w:val="0"/>
        <w:widowControl w:val="0"/>
        <w:tabs>
          <w:tab w:val="left" w:pos="1219"/>
        </w:tabs>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6470B672">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8.3如果投标文件实质上不响应招标文件的各项要求，评标小组将予以拒绝，并且不允许投标人通过修改或撤销其不符合要求的差异或保留，使之成为具有响应性的投标。</w:t>
      </w:r>
    </w:p>
    <w:p w14:paraId="5C19F92A">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9</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投标文件计算错误的修正</w:t>
      </w:r>
    </w:p>
    <w:p w14:paraId="1E03FA8F">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9.1投标文件报价出现不一致的，除招标文件另有规定外，按照下列规定修正：</w:t>
      </w:r>
    </w:p>
    <w:p w14:paraId="12BB6498">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9.1.1投标文件中开标一览表（报价表）内容与投标文件中相应内容不一致的，以开标一览表（报价表）为准。</w:t>
      </w:r>
    </w:p>
    <w:p w14:paraId="5FB9291C">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9.1.2大写金额和小写金额不一致的，以大写金额为准。</w:t>
      </w:r>
    </w:p>
    <w:p w14:paraId="6DE59859">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9.1.3单价金额小数点或者百分比有明显错位的，以开标一览表的总价为准，并修改单价。</w:t>
      </w:r>
    </w:p>
    <w:p w14:paraId="76E2FC0A">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9.1.4总价金额与按单价汇总金额不一致的，以单价金额计算结果为准。</w:t>
      </w:r>
    </w:p>
    <w:p w14:paraId="423B5359">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同时出现两种以上不一致的，按照前款规定的顺序修正。修正后的报价经投标人确认后产生约束力，投标人未在规定时间内确认的，视同放弃确认，默认投标人认可修正后的报价。</w:t>
      </w:r>
    </w:p>
    <w:p w14:paraId="348CFCCD">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9.2对不同文字文本投标文件的解释发生异议的，以中文文本为准。评标委员会可以拒绝接受不是中文版的投标文件以及与投标相关的资料。</w:t>
      </w:r>
    </w:p>
    <w:p w14:paraId="41F396D7">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投标文件的评标、比较和否决</w:t>
      </w:r>
    </w:p>
    <w:p w14:paraId="22852D5A">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10.1评标小组将按照本须知规定，仅对在实质上响应招标文件要求的投标文件进行评估和比较。</w:t>
      </w:r>
    </w:p>
    <w:p w14:paraId="0375E645">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在评标过程后，评标小组可以要求供应商授权代表须通过指定的电子邮箱、传真号码等作出澄清、说明或者补正。评审小组给予供应商提交澄清、说明或补正的时间不得少于半小时，供应商已经明确表示澄清、说明或补正完毕的除外。</w:t>
      </w:r>
    </w:p>
    <w:p w14:paraId="04232574">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10.3评标小组在作出任何一项无效标决定前，都应当严格遵循以下程序：</w:t>
      </w:r>
    </w:p>
    <w:p w14:paraId="4A7E90FF">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shd w:val="pct10" w:color="auto" w:fill="FFFFFF"/>
        </w:rPr>
      </w:pPr>
      <w:r>
        <w:rPr>
          <w:rFonts w:hint="eastAsia" w:asciiTheme="minorEastAsia" w:hAnsiTheme="minorEastAsia" w:eastAsiaTheme="minorEastAsia" w:cstheme="minorEastAsia"/>
          <w:b/>
          <w:color w:val="auto"/>
          <w:sz w:val="24"/>
          <w:szCs w:val="24"/>
          <w:highlight w:val="none"/>
          <w:shd w:val="pct10" w:color="auto" w:fill="FFFFFF"/>
        </w:rPr>
        <w:t>10.3.1要求当事投标人</w:t>
      </w:r>
      <w:r>
        <w:rPr>
          <w:rFonts w:hint="eastAsia" w:asciiTheme="minorEastAsia" w:hAnsiTheme="minorEastAsia" w:eastAsiaTheme="minorEastAsia" w:cstheme="minorEastAsia"/>
          <w:b/>
          <w:color w:val="auto"/>
          <w:sz w:val="24"/>
          <w:szCs w:val="24"/>
          <w:highlight w:val="none"/>
          <w:shd w:val="pct10" w:color="auto" w:fill="FFFFFF"/>
          <w:lang w:eastAsia="zh-CN"/>
        </w:rPr>
        <w:t>做</w:t>
      </w:r>
      <w:r>
        <w:rPr>
          <w:rFonts w:hint="eastAsia" w:asciiTheme="minorEastAsia" w:hAnsiTheme="minorEastAsia" w:eastAsiaTheme="minorEastAsia" w:cstheme="minorEastAsia"/>
          <w:b/>
          <w:color w:val="auto"/>
          <w:sz w:val="24"/>
          <w:szCs w:val="24"/>
          <w:highlight w:val="none"/>
          <w:shd w:val="pct10" w:color="auto" w:fill="FFFFFF"/>
        </w:rPr>
        <w:t>相应的答辩；</w:t>
      </w:r>
    </w:p>
    <w:p w14:paraId="58EBDAD9">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shd w:val="pct10" w:color="auto" w:fill="FFFFFF"/>
        </w:rPr>
      </w:pPr>
      <w:r>
        <w:rPr>
          <w:rFonts w:hint="eastAsia" w:asciiTheme="minorEastAsia" w:hAnsiTheme="minorEastAsia" w:eastAsiaTheme="minorEastAsia" w:cstheme="minorEastAsia"/>
          <w:b/>
          <w:color w:val="auto"/>
          <w:sz w:val="24"/>
          <w:szCs w:val="24"/>
          <w:highlight w:val="none"/>
          <w:shd w:val="pct10" w:color="auto" w:fill="FFFFFF"/>
        </w:rPr>
        <w:t>10.3.2在充分讨论的基础上集体表决；</w:t>
      </w:r>
    </w:p>
    <w:p w14:paraId="6DE6A6EC">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shd w:val="pct10" w:color="auto" w:fill="FFFFFF"/>
        </w:rPr>
        <w:t>10.3.3若表决通过无效标决定，告知当事投标人，并在评标报告中详细载明废标理由、依据、答辩的情况和集体表决的情况（同意废标和不同意废标的评标小组成员均应当注明）。</w:t>
      </w:r>
    </w:p>
    <w:p w14:paraId="42DD30CA">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10.4评标小组经评标，认为所有投标都不符合招标文件要求时，可以否决所有投标。所有投标被否决后，采购人应当依法重新招标。</w:t>
      </w:r>
    </w:p>
    <w:p w14:paraId="001E23B7">
      <w:pPr>
        <w:pStyle w:val="13"/>
        <w:pageBreakBefore w:val="0"/>
        <w:widowControl w:val="0"/>
        <w:kinsoku/>
        <w:wordWrap/>
        <w:overflowPunct/>
        <w:topLinePunct w:val="0"/>
        <w:autoSpaceDE/>
        <w:autoSpaceDN/>
        <w:bidi w:val="0"/>
        <w:adjustRightInd/>
        <w:snapToGrid/>
        <w:spacing w:line="360" w:lineRule="auto"/>
        <w:ind w:left="0" w:leftChars="0" w:firstLine="468" w:firstLineChars="200"/>
        <w:textAlignment w:val="auto"/>
        <w:rPr>
          <w:rFonts w:hint="eastAsia" w:asciiTheme="minorEastAsia" w:hAnsiTheme="minorEastAsia" w:eastAsiaTheme="minorEastAsia" w:cstheme="minorEastAsia"/>
          <w:b/>
          <w:color w:val="auto"/>
          <w:spacing w:val="-4"/>
          <w:sz w:val="24"/>
          <w:szCs w:val="24"/>
          <w:highlight w:val="none"/>
        </w:rPr>
      </w:pPr>
      <w:r>
        <w:rPr>
          <w:rFonts w:hint="eastAsia" w:asciiTheme="minorEastAsia" w:hAnsiTheme="minorEastAsia" w:eastAsiaTheme="minorEastAsia" w:cstheme="minorEastAsia"/>
          <w:b/>
          <w:color w:val="auto"/>
          <w:spacing w:val="-4"/>
          <w:sz w:val="24"/>
          <w:szCs w:val="24"/>
          <w:highlight w:val="none"/>
        </w:rPr>
        <w:t>11</w:t>
      </w:r>
      <w:r>
        <w:rPr>
          <w:rFonts w:hint="eastAsia" w:asciiTheme="minorEastAsia" w:hAnsiTheme="minorEastAsia" w:eastAsiaTheme="minorEastAsia" w:cstheme="minorEastAsia"/>
          <w:b/>
          <w:color w:val="auto"/>
          <w:spacing w:val="-4"/>
          <w:sz w:val="24"/>
          <w:szCs w:val="24"/>
          <w:highlight w:val="none"/>
          <w:lang w:val="en-US" w:eastAsia="zh-CN"/>
        </w:rPr>
        <w:t>.</w:t>
      </w:r>
      <w:r>
        <w:rPr>
          <w:rFonts w:hint="eastAsia" w:asciiTheme="minorEastAsia" w:hAnsiTheme="minorEastAsia" w:eastAsiaTheme="minorEastAsia" w:cstheme="minorEastAsia"/>
          <w:b/>
          <w:color w:val="auto"/>
          <w:spacing w:val="-4"/>
          <w:sz w:val="24"/>
          <w:szCs w:val="24"/>
          <w:highlight w:val="none"/>
        </w:rPr>
        <w:t>评标办法</w:t>
      </w:r>
    </w:p>
    <w:p w14:paraId="0CFF36C7">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11.1本项目综合评分法（具体评标办法见后）。</w:t>
      </w:r>
    </w:p>
    <w:p w14:paraId="6704F8E7">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决标</w:t>
      </w:r>
    </w:p>
    <w:p w14:paraId="3911CA2B">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评标小组依据本招标文件规定的评标标准和方法，对投标文件进行评标和比较，向采购人提出书面评标报告，并直接确定中标人。</w:t>
      </w:r>
    </w:p>
    <w:p w14:paraId="4D4B2B8C">
      <w:pPr>
        <w:pStyle w:val="3"/>
        <w:pageBreakBefore w:val="0"/>
        <w:widowControl w:val="0"/>
        <w:kinsoku/>
        <w:wordWrap/>
        <w:overflowPunct/>
        <w:topLinePunct w:val="0"/>
        <w:autoSpaceDE/>
        <w:autoSpaceDN/>
        <w:bidi w:val="0"/>
        <w:adjustRightInd/>
        <w:snapToGrid/>
        <w:spacing w:before="0" w:after="0"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bookmarkStart w:id="30" w:name="_Toc274303254"/>
      <w:bookmarkStart w:id="31" w:name="_Toc261519848"/>
      <w:bookmarkStart w:id="32" w:name="_Toc362250706"/>
      <w:bookmarkStart w:id="33" w:name="_Toc263090376"/>
      <w:bookmarkStart w:id="34" w:name="_Toc226973003"/>
      <w:r>
        <w:rPr>
          <w:rFonts w:hint="eastAsia" w:asciiTheme="minorEastAsia" w:hAnsiTheme="minorEastAsia" w:eastAsiaTheme="minorEastAsia" w:cstheme="minorEastAsia"/>
          <w:color w:val="auto"/>
          <w:sz w:val="24"/>
          <w:szCs w:val="24"/>
          <w:highlight w:val="none"/>
        </w:rPr>
        <w:t>三、定标</w:t>
      </w:r>
      <w:bookmarkEnd w:id="30"/>
      <w:bookmarkEnd w:id="31"/>
      <w:bookmarkEnd w:id="32"/>
      <w:bookmarkEnd w:id="33"/>
      <w:bookmarkEnd w:id="34"/>
    </w:p>
    <w:p w14:paraId="5F27C40A">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13</w:t>
      </w:r>
      <w:r>
        <w:rPr>
          <w:rFonts w:hint="eastAsia" w:asciiTheme="minorEastAsia" w:hAnsiTheme="minorEastAsia" w:eastAsiaTheme="minorEastAsia" w:cstheme="minorEastAsia"/>
          <w:b/>
          <w:color w:val="auto"/>
          <w:kern w:val="0"/>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中标通知</w:t>
      </w:r>
    </w:p>
    <w:p w14:paraId="05F13CD7">
      <w:pPr>
        <w:pStyle w:val="13"/>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13.1评标结束后，评标结果公告</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个工作日，发布评标结果公告的媒体为：义乌政府门户网站</w:t>
      </w:r>
    </w:p>
    <w:p w14:paraId="1F533771">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w:t>
      </w:r>
      <w:bookmarkStart w:id="35" w:name="_Hlk24447393"/>
      <w:r>
        <w:rPr>
          <w:rFonts w:hint="eastAsia" w:asciiTheme="minorEastAsia" w:hAnsiTheme="minorEastAsia" w:eastAsiaTheme="minorEastAsia" w:cstheme="minorEastAsia"/>
          <w:color w:val="auto"/>
          <w:sz w:val="24"/>
          <w:szCs w:val="24"/>
          <w:highlight w:val="none"/>
        </w:rPr>
        <w:t>发放中标通知书前，采购人或其委托的采购代理机构应在中国裁判文书网上查询中标（成交）单位及其拟派项目负责人自202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年1月1日至中标公告期结束前行贿犯罪记录情况，查询结果以网站页面显示内容为准。经查实，</w:t>
      </w:r>
      <w:r>
        <w:rPr>
          <w:rFonts w:hint="eastAsia" w:asciiTheme="minorEastAsia" w:hAnsiTheme="minorEastAsia" w:eastAsiaTheme="minorEastAsia" w:cstheme="minorEastAsia"/>
          <w:color w:val="auto"/>
          <w:sz w:val="24"/>
          <w:szCs w:val="24"/>
          <w:highlight w:val="none"/>
          <w:shd w:val="clear" w:color="auto" w:fill="FFFFFF"/>
        </w:rPr>
        <w:t>中标人</w:t>
      </w:r>
      <w:r>
        <w:rPr>
          <w:rFonts w:hint="eastAsia" w:asciiTheme="minorEastAsia" w:hAnsiTheme="minorEastAsia" w:eastAsiaTheme="minorEastAsia" w:cstheme="minorEastAsia"/>
          <w:color w:val="auto"/>
          <w:sz w:val="24"/>
          <w:szCs w:val="24"/>
          <w:highlight w:val="none"/>
        </w:rPr>
        <w:t>有前述行贿犯罪记录的，取消其中标资格，采购人依法重新组织采购。</w:t>
      </w:r>
    </w:p>
    <w:p w14:paraId="0374EF45">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13.3评标结果公告发布的同时，由采购人和浙江开平企业管理咨询有限公司共同签发《中标通知书》，中标方凭有效说明到浙江开平企业管理咨询有限公司领取《中标通知书》。《中标通知书》一经发出即发生法律效力。</w:t>
      </w:r>
      <w:bookmarkEnd w:id="35"/>
    </w:p>
    <w:p w14:paraId="678F712F">
      <w:pPr>
        <w:pStyle w:val="13"/>
        <w:pageBreakBefore w:val="0"/>
        <w:widowControl w:val="0"/>
        <w:tabs>
          <w:tab w:val="left" w:pos="900"/>
        </w:tabs>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13.4开标过程中，投标人对开标有异议的，应当在开标视频会议当中提出，评审委员会应对异常情况</w:t>
      </w:r>
      <w:r>
        <w:rPr>
          <w:rFonts w:hint="eastAsia" w:asciiTheme="minorEastAsia" w:hAnsiTheme="minorEastAsia" w:eastAsiaTheme="minorEastAsia" w:cstheme="minorEastAsia"/>
          <w:color w:val="auto"/>
          <w:sz w:val="24"/>
          <w:szCs w:val="24"/>
          <w:highlight w:val="none"/>
          <w:lang w:eastAsia="zh-CN"/>
        </w:rPr>
        <w:t>做</w:t>
      </w:r>
      <w:r>
        <w:rPr>
          <w:rFonts w:hint="eastAsia" w:asciiTheme="minorEastAsia" w:hAnsiTheme="minorEastAsia" w:eastAsiaTheme="minorEastAsia" w:cstheme="minorEastAsia"/>
          <w:color w:val="auto"/>
          <w:sz w:val="24"/>
          <w:szCs w:val="24"/>
          <w:highlight w:val="none"/>
        </w:rPr>
        <w:t>记录。</w:t>
      </w:r>
    </w:p>
    <w:p w14:paraId="76663318">
      <w:pPr>
        <w:pStyle w:val="13"/>
        <w:pageBreakBefore w:val="0"/>
        <w:widowControl w:val="0"/>
        <w:tabs>
          <w:tab w:val="left" w:pos="900"/>
        </w:tabs>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bookmarkStart w:id="36" w:name="_Hlk24447427"/>
      <w:r>
        <w:rPr>
          <w:rFonts w:hint="eastAsia" w:asciiTheme="minorEastAsia" w:hAnsiTheme="minorEastAsia" w:eastAsiaTheme="minorEastAsia" w:cstheme="minorEastAsia"/>
          <w:color w:val="auto"/>
          <w:sz w:val="24"/>
          <w:szCs w:val="24"/>
          <w:highlight w:val="none"/>
        </w:rPr>
        <w:t>5开评标结束后 ，投标人或者其他利害关系人对依法必须进行招标的项目的评标结果有异议的，应在公告期限届满之日起7个工作日内首先依据招投标相关法律法规向采购人、招标代理机构提出质疑。采购人或招标代理机构将在收到书面质疑后七个工作日内对质疑内容作出答复。若投标人对采购人或招标代理机构的答复、处理结果不满意，应在收到采购人或招标代理机构的书面答复后十五个工作日内到招标投标管理部门投诉。</w:t>
      </w:r>
      <w:bookmarkEnd w:id="36"/>
    </w:p>
    <w:p w14:paraId="345D0B27">
      <w:pPr>
        <w:pStyle w:val="13"/>
        <w:pageBreakBefore w:val="0"/>
        <w:widowControl w:val="0"/>
        <w:tabs>
          <w:tab w:val="left" w:pos="900"/>
        </w:tabs>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13.6质疑投诉的相关规定</w:t>
      </w:r>
    </w:p>
    <w:p w14:paraId="57E0BA0C">
      <w:pPr>
        <w:pStyle w:val="13"/>
        <w:pageBreakBefore w:val="0"/>
        <w:widowControl w:val="0"/>
        <w:tabs>
          <w:tab w:val="left" w:pos="900"/>
        </w:tabs>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（一）质疑投诉递交的资料需为书面材料。质疑投诉书面材料需</w:t>
      </w:r>
      <w:r>
        <w:rPr>
          <w:rFonts w:hint="eastAsia" w:asciiTheme="minorEastAsia" w:hAnsiTheme="minorEastAsia" w:eastAsiaTheme="minorEastAsia" w:cstheme="minorEastAsia"/>
          <w:color w:val="auto"/>
          <w:sz w:val="24"/>
          <w:szCs w:val="24"/>
          <w:highlight w:val="none"/>
          <w:lang w:eastAsia="zh-CN"/>
        </w:rPr>
        <w:t>法定代表人</w:t>
      </w:r>
      <w:r>
        <w:rPr>
          <w:rFonts w:hint="eastAsia" w:asciiTheme="minorEastAsia" w:hAnsiTheme="minorEastAsia" w:eastAsiaTheme="minorEastAsia" w:cstheme="minorEastAsia"/>
          <w:color w:val="auto"/>
          <w:sz w:val="24"/>
          <w:szCs w:val="24"/>
          <w:highlight w:val="none"/>
        </w:rPr>
        <w:t>或授权代表签字并加盖公章。</w:t>
      </w:r>
    </w:p>
    <w:p w14:paraId="3AA0C38B">
      <w:pPr>
        <w:pStyle w:val="13"/>
        <w:pageBreakBefore w:val="0"/>
        <w:widowControl w:val="0"/>
        <w:tabs>
          <w:tab w:val="left" w:pos="900"/>
        </w:tabs>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（二）质疑投诉属于以下情况之一的，将不予受理：</w:t>
      </w:r>
    </w:p>
    <w:p w14:paraId="5663B2C0">
      <w:pPr>
        <w:pStyle w:val="13"/>
        <w:pageBreakBefore w:val="0"/>
        <w:widowControl w:val="0"/>
        <w:numPr>
          <w:ilvl w:val="0"/>
          <w:numId w:val="2"/>
        </w:numPr>
        <w:tabs>
          <w:tab w:val="left" w:pos="900"/>
        </w:tabs>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质疑投诉人不是所投诉项目的参与者，或者与质疑投诉项目无任何利害关系。</w:t>
      </w:r>
    </w:p>
    <w:p w14:paraId="0FE66855">
      <w:pPr>
        <w:pStyle w:val="13"/>
        <w:pageBreakBefore w:val="0"/>
        <w:widowControl w:val="0"/>
        <w:numPr>
          <w:ilvl w:val="0"/>
          <w:numId w:val="2"/>
        </w:numPr>
        <w:tabs>
          <w:tab w:val="left" w:pos="900"/>
        </w:tabs>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质疑投诉事项不具体，且未提供有效线索，难以查证。</w:t>
      </w:r>
    </w:p>
    <w:p w14:paraId="2B30BDA9">
      <w:pPr>
        <w:pStyle w:val="13"/>
        <w:pageBreakBefore w:val="0"/>
        <w:widowControl w:val="0"/>
        <w:numPr>
          <w:ilvl w:val="0"/>
          <w:numId w:val="2"/>
        </w:numPr>
        <w:tabs>
          <w:tab w:val="left" w:pos="900"/>
        </w:tabs>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未提供书面质疑或者质疑未加盖公章的；投诉人为法人或者其他组织，其投诉书未经法定代表人或者主要负责人签字并加盖公章的。</w:t>
      </w:r>
    </w:p>
    <w:p w14:paraId="486EEFBD">
      <w:pPr>
        <w:pStyle w:val="13"/>
        <w:pageBreakBefore w:val="0"/>
        <w:widowControl w:val="0"/>
        <w:numPr>
          <w:ilvl w:val="0"/>
          <w:numId w:val="2"/>
        </w:numPr>
        <w:tabs>
          <w:tab w:val="left" w:pos="900"/>
        </w:tabs>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已超过招标文件规定质疑投诉提出期限的事项。 </w:t>
      </w:r>
    </w:p>
    <w:p w14:paraId="67783F4E">
      <w:pPr>
        <w:pStyle w:val="13"/>
        <w:pageBreakBefore w:val="0"/>
        <w:widowControl w:val="0"/>
        <w:numPr>
          <w:ilvl w:val="0"/>
          <w:numId w:val="2"/>
        </w:numPr>
        <w:tabs>
          <w:tab w:val="left" w:pos="900"/>
        </w:tabs>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投诉事项已作出处理决定，并且投诉人没有提出新的证据；</w:t>
      </w:r>
    </w:p>
    <w:p w14:paraId="5AAA251C">
      <w:pPr>
        <w:pStyle w:val="13"/>
        <w:pageBreakBefore w:val="0"/>
        <w:widowControl w:val="0"/>
        <w:numPr>
          <w:ilvl w:val="0"/>
          <w:numId w:val="2"/>
        </w:numPr>
        <w:tabs>
          <w:tab w:val="left" w:pos="900"/>
        </w:tabs>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质疑投诉的事项已经进入行政复议或者行政诉讼程序的；投诉事项应先提出质疑而没有提出质疑的。</w:t>
      </w:r>
    </w:p>
    <w:p w14:paraId="72157E55">
      <w:pPr>
        <w:pStyle w:val="13"/>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不符合《政府采购质疑和投诉办法》（财政部令第94号）和《</w:t>
      </w:r>
      <w:r>
        <w:rPr>
          <w:rFonts w:hint="eastAsia" w:asciiTheme="minorEastAsia" w:hAnsiTheme="minorEastAsia" w:eastAsiaTheme="minorEastAsia" w:cstheme="minorEastAsia"/>
          <w:b w:val="0"/>
          <w:bCs w:val="0"/>
          <w:iCs w:val="0"/>
          <w:color w:val="auto"/>
          <w:kern w:val="2"/>
          <w:sz w:val="24"/>
          <w:szCs w:val="24"/>
          <w:highlight w:val="none"/>
          <w:lang w:val="en-US" w:eastAsia="zh-CN" w:bidi="ar-SA"/>
        </w:rPr>
        <w:t>浙江省财政厅关于印发浙江省政府采购询问和质疑实施办法的通知》（浙财采监〔2025〕11号）</w:t>
      </w:r>
      <w:r>
        <w:rPr>
          <w:rFonts w:hint="eastAsia" w:asciiTheme="minorEastAsia" w:hAnsiTheme="minorEastAsia" w:eastAsiaTheme="minorEastAsia" w:cstheme="minorEastAsia"/>
          <w:color w:val="auto"/>
          <w:sz w:val="24"/>
          <w:szCs w:val="24"/>
          <w:highlight w:val="none"/>
        </w:rPr>
        <w:t>等有关规定的质疑投诉。</w:t>
      </w:r>
    </w:p>
    <w:p w14:paraId="184175CE">
      <w:pPr>
        <w:pStyle w:val="13"/>
        <w:pageBreakBefore w:val="0"/>
        <w:widowControl w:val="0"/>
        <w:tabs>
          <w:tab w:val="left" w:pos="900"/>
        </w:tabs>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合同签订</w:t>
      </w:r>
    </w:p>
    <w:p w14:paraId="677CCED3">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14.1中标人自接到《中标通知书》后应在三十天内与</w:t>
      </w:r>
      <w:r>
        <w:rPr>
          <w:rFonts w:hint="eastAsia" w:asciiTheme="minorEastAsia" w:hAnsiTheme="minorEastAsia" w:eastAsiaTheme="minorEastAsia" w:cstheme="minorEastAsia"/>
          <w:color w:val="auto"/>
          <w:sz w:val="24"/>
          <w:szCs w:val="24"/>
          <w:highlight w:val="none"/>
          <w:lang w:eastAsia="zh-CN"/>
        </w:rPr>
        <w:t>义乌市苏溪镇中心卫生院</w:t>
      </w:r>
      <w:r>
        <w:rPr>
          <w:rFonts w:hint="eastAsia" w:asciiTheme="minorEastAsia" w:hAnsiTheme="minorEastAsia" w:eastAsiaTheme="minorEastAsia" w:cstheme="minorEastAsia"/>
          <w:color w:val="auto"/>
          <w:sz w:val="24"/>
          <w:szCs w:val="24"/>
          <w:highlight w:val="none"/>
        </w:rPr>
        <w:t>签订合同，</w:t>
      </w:r>
      <w:r>
        <w:rPr>
          <w:rFonts w:hint="eastAsia" w:asciiTheme="minorEastAsia" w:hAnsiTheme="minorEastAsia" w:eastAsiaTheme="minorEastAsia" w:cstheme="minorEastAsia"/>
          <w:color w:val="auto"/>
          <w:sz w:val="24"/>
          <w:szCs w:val="24"/>
          <w:highlight w:val="none"/>
          <w:shd w:val="clear" w:color="auto" w:fill="FFFFFF"/>
        </w:rPr>
        <w:t>按照采购文件确定的事项签订政府采购合同</w:t>
      </w:r>
      <w:r>
        <w:rPr>
          <w:rFonts w:hint="eastAsia" w:asciiTheme="minorEastAsia" w:hAnsiTheme="minorEastAsia" w:eastAsiaTheme="minorEastAsia" w:cstheme="minorEastAsia"/>
          <w:color w:val="auto"/>
          <w:sz w:val="24"/>
          <w:szCs w:val="24"/>
          <w:highlight w:val="none"/>
        </w:rPr>
        <w:t>。</w:t>
      </w:r>
    </w:p>
    <w:p w14:paraId="22ED0486">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14.2招标文件、中标人的投标文件、评标过程中投标人在询标时作出的承诺及其澄清文件等，均为签订合同的依据和招标合同的有效组成部分。</w:t>
      </w:r>
    </w:p>
    <w:p w14:paraId="0D2F9477">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14.3</w:t>
      </w:r>
      <w:bookmarkStart w:id="37" w:name="_Hlk24447465"/>
      <w:r>
        <w:rPr>
          <w:rFonts w:hint="eastAsia" w:asciiTheme="minorEastAsia" w:hAnsiTheme="minorEastAsia" w:eastAsiaTheme="minorEastAsia" w:cstheme="minorEastAsia"/>
          <w:color w:val="auto"/>
          <w:sz w:val="24"/>
          <w:szCs w:val="24"/>
          <w:highlight w:val="none"/>
        </w:rPr>
        <w:t>中标人不遵守招标文件和投标文件的要约及承诺而擅自修改报价，或在接到《中标通知书》后借故拖延、拒签合同而造成超过规定时间的，视为中标人不履行招标合同，构成严重违约。采购人和招标代理人将按失信行为上报义乌市信用管理部门，同时取消该投标人的中标资格（解除合同），并追究中标人的违约责任。</w:t>
      </w:r>
      <w:bookmarkEnd w:id="37"/>
    </w:p>
    <w:p w14:paraId="67C47BD8">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14.4采购人与中标人签订合同后招标代理机构将中标结果通知落选投标人，采购人和招标代理机构对评标结果不负责解释。</w:t>
      </w:r>
    </w:p>
    <w:p w14:paraId="42C21F45">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14.5采购人变更数量的权利</w:t>
      </w:r>
    </w:p>
    <w:p w14:paraId="45A1A99C">
      <w:pPr>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采购人在授予合同时有权对“技术要求及招标范围”中规定的服务予以增加或减少，但必须符合《中华人民共和国政府采购法》及义乌市政府采购的相关规定。</w:t>
      </w:r>
    </w:p>
    <w:p w14:paraId="1F994A13">
      <w:pPr>
        <w:spacing w:line="360" w:lineRule="auto"/>
        <w:ind w:firstLine="484" w:firstLineChars="200"/>
        <w:rPr>
          <w:rFonts w:hint="eastAsia" w:asciiTheme="minorEastAsia" w:hAnsiTheme="minorEastAsia" w:eastAsiaTheme="minorEastAsia" w:cstheme="minorEastAsia"/>
          <w:color w:val="auto"/>
          <w:sz w:val="24"/>
          <w:highlight w:val="none"/>
        </w:rPr>
      </w:pPr>
    </w:p>
    <w:p w14:paraId="30332B7D">
      <w:pPr>
        <w:spacing w:line="360" w:lineRule="auto"/>
        <w:jc w:val="center"/>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bCs/>
          <w:color w:val="auto"/>
          <w:kern w:val="36"/>
          <w:sz w:val="36"/>
          <w:szCs w:val="36"/>
          <w:highlight w:val="none"/>
        </w:rPr>
        <w:t xml:space="preserve">第五章  </w:t>
      </w:r>
      <w:r>
        <w:rPr>
          <w:rFonts w:hint="eastAsia" w:asciiTheme="minorEastAsia" w:hAnsiTheme="minorEastAsia" w:eastAsiaTheme="minorEastAsia" w:cstheme="minorEastAsia"/>
          <w:b/>
          <w:color w:val="auto"/>
          <w:sz w:val="36"/>
          <w:szCs w:val="36"/>
          <w:highlight w:val="none"/>
        </w:rPr>
        <w:t>投标文件的有效性</w:t>
      </w:r>
    </w:p>
    <w:p w14:paraId="03DDF457">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w:t>
      </w:r>
      <w:r>
        <w:rPr>
          <w:rFonts w:hint="eastAsia" w:asciiTheme="minorEastAsia" w:hAnsiTheme="minorEastAsia" w:eastAsiaTheme="minorEastAsia" w:cstheme="minorEastAsia"/>
          <w:b/>
          <w:color w:val="auto"/>
          <w:sz w:val="24"/>
          <w:highlight w:val="none"/>
        </w:rPr>
        <w:t>投标文件有下列情形之一的，采购人将不予受理：</w:t>
      </w:r>
    </w:p>
    <w:p w14:paraId="68C5484A">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1.1逾期送达的或未送达指定地点的；</w:t>
      </w:r>
    </w:p>
    <w:p w14:paraId="43AD644D">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1.2投标文件未按规定密封的；</w:t>
      </w:r>
    </w:p>
    <w:p w14:paraId="32B22C36">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b/>
          <w:color w:val="auto"/>
          <w:sz w:val="24"/>
          <w:highlight w:val="none"/>
          <w:shd w:val="pct10" w:color="auto" w:fill="FFFFFF"/>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w:t>
      </w:r>
      <w:r>
        <w:rPr>
          <w:rFonts w:hint="eastAsia" w:asciiTheme="minorEastAsia" w:hAnsiTheme="minorEastAsia" w:eastAsiaTheme="minorEastAsia" w:cstheme="minorEastAsia"/>
          <w:b/>
          <w:color w:val="auto"/>
          <w:sz w:val="24"/>
          <w:highlight w:val="none"/>
        </w:rPr>
        <w:t>采购代理机构开评标管理人员和采购人监督人员按照招标文件要求在开标现场对开标时间截止前送达的投标文件进行开标审查，有下列情形之一的应提交评标小组作废标处理。</w:t>
      </w:r>
    </w:p>
    <w:p w14:paraId="75757A5B">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2.1投标文件包封不符合招标文件要求；</w:t>
      </w:r>
    </w:p>
    <w:p w14:paraId="06604E72">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2.2投标报价高于预算价或最高限价的；</w:t>
      </w:r>
    </w:p>
    <w:p w14:paraId="66F43F3F">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2.3报价关键字迹模糊，无法辨认的；</w:t>
      </w:r>
    </w:p>
    <w:p w14:paraId="2BE14045">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shd w:val="pct10" w:color="auto" w:fill="FFFFFF"/>
        </w:rPr>
        <w:t>3</w:t>
      </w:r>
      <w:r>
        <w:rPr>
          <w:rFonts w:hint="eastAsia" w:asciiTheme="minorEastAsia" w:hAnsiTheme="minorEastAsia" w:eastAsiaTheme="minorEastAsia" w:cstheme="minorEastAsia"/>
          <w:b/>
          <w:color w:val="auto"/>
          <w:sz w:val="24"/>
          <w:highlight w:val="none"/>
          <w:shd w:val="pct10" w:color="auto" w:fill="FFFFFF"/>
          <w:lang w:val="en-US" w:eastAsia="zh-CN"/>
        </w:rPr>
        <w:t>.</w:t>
      </w:r>
      <w:r>
        <w:rPr>
          <w:rFonts w:hint="eastAsia" w:asciiTheme="minorEastAsia" w:hAnsiTheme="minorEastAsia" w:eastAsiaTheme="minorEastAsia" w:cstheme="minorEastAsia"/>
          <w:b/>
          <w:color w:val="auto"/>
          <w:sz w:val="24"/>
          <w:highlight w:val="none"/>
          <w:shd w:val="pct10" w:color="auto" w:fill="FFFFFF"/>
        </w:rPr>
        <w:t>投标文件出现下列情形之一的，由评标小组初审后按无效投标文件处理：</w:t>
      </w:r>
    </w:p>
    <w:p w14:paraId="4C6DE28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未按招标文件要求加盖单位公章；或无法定代表人或法定代表人授权的全权代表签字或盖章的；或有授权的全权代表签字或盖章但未提交“授权委托书”原件的；或授权委托书无法定代表人签字或盖章的；或授权委托书未加盖单位公章的；</w:t>
      </w:r>
    </w:p>
    <w:p w14:paraId="55FE293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投标人的投标资格不符合招标文件的资格要求规定</w:t>
      </w:r>
      <w:r>
        <w:rPr>
          <w:rFonts w:hint="eastAsia" w:asciiTheme="minorEastAsia" w:hAnsiTheme="minorEastAsia" w:eastAsiaTheme="minorEastAsia" w:cstheme="minorEastAsia"/>
          <w:color w:val="auto"/>
          <w:kern w:val="0"/>
          <w:sz w:val="24"/>
          <w:highlight w:val="none"/>
        </w:rPr>
        <w:t>；未按招标文件规定提供相关文件，如资格说明、身份申明等；</w:t>
      </w:r>
    </w:p>
    <w:p w14:paraId="19A3DD5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w:t>
      </w:r>
      <w:r>
        <w:rPr>
          <w:rFonts w:hint="eastAsia" w:asciiTheme="minorEastAsia" w:hAnsiTheme="minorEastAsia" w:eastAsiaTheme="minorEastAsia" w:cstheme="minorEastAsia"/>
          <w:color w:val="auto"/>
          <w:sz w:val="24"/>
          <w:highlight w:val="none"/>
          <w:lang w:eastAsia="zh-CN"/>
        </w:rPr>
        <w:t>方</w:t>
      </w:r>
      <w:r>
        <w:rPr>
          <w:rFonts w:hint="eastAsia" w:asciiTheme="minorEastAsia" w:hAnsiTheme="minorEastAsia" w:eastAsiaTheme="minorEastAsia" w:cstheme="minorEastAsia"/>
          <w:color w:val="auto"/>
          <w:sz w:val="24"/>
          <w:highlight w:val="none"/>
        </w:rPr>
        <w:t>所投产品的数量不符合招标文件规定的；</w:t>
      </w:r>
    </w:p>
    <w:p w14:paraId="75EC126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如评标委员会认为投标人的报价明显低于其他通过符合性审</w:t>
      </w:r>
      <w:r>
        <w:rPr>
          <w:rFonts w:hint="eastAsia" w:asciiTheme="minorEastAsia" w:hAnsiTheme="minorEastAsia" w:eastAsiaTheme="minorEastAsia" w:cstheme="minorEastAsia"/>
          <w:color w:val="auto"/>
          <w:sz w:val="24"/>
          <w:highlight w:val="none"/>
          <w:lang w:eastAsia="zh-CN"/>
        </w:rPr>
        <w:t>查的</w:t>
      </w:r>
      <w:r>
        <w:rPr>
          <w:rFonts w:hint="eastAsia" w:asciiTheme="minorEastAsia" w:hAnsiTheme="minorEastAsia" w:eastAsiaTheme="minorEastAsia" w:cstheme="minorEastAsia"/>
          <w:color w:val="auto"/>
          <w:sz w:val="24"/>
          <w:highlight w:val="none"/>
        </w:rPr>
        <w:t>投标人的报价，有可能影响产品质量或者不能诚信履约的，应当要求其在评标现场合理的时间内提供书面说明，必要时提交相关佐证材料；投标人不能说明其报价合理性的，评标委员会应当将其作为无效投标处理。</w:t>
      </w:r>
    </w:p>
    <w:p w14:paraId="7E3969F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投标文件不符合招标文件规定，未按规定格式填写的；或投标文件内容不全或关键字迹模糊、无法辨认的；或投标文件内容自相矛盾的；</w:t>
      </w:r>
    </w:p>
    <w:p w14:paraId="266D5DE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投标人递交两份或多份内容不同的投标文件，或在同一份投标文件中对同一招标项目报有两个或多个报价，且未声明哪一个有效，但按招标文件规定提交备选投标方案的除外；</w:t>
      </w:r>
    </w:p>
    <w:p w14:paraId="37F14D4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借用或冒用他人名义或证件、涂改文件、伪造或编造投标文件的；</w:t>
      </w:r>
    </w:p>
    <w:p w14:paraId="3CDE56B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采用不正当手段妨碍排挤其他投标人，扰乱招投标市场、破坏公平竞争；</w:t>
      </w:r>
    </w:p>
    <w:p w14:paraId="58BE904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有影响评标公正性或不正当行为的投标；</w:t>
      </w:r>
    </w:p>
    <w:p w14:paraId="6921A63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投标中不同</w:t>
      </w: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kern w:val="0"/>
          <w:sz w:val="24"/>
          <w:highlight w:val="none"/>
        </w:rPr>
        <w:t>的投标文件出现雷同或相似（包括部分雷同或相似），对所有雷同或相似投标人按废标处理，采购人将保留进一步追究责任的权利；</w:t>
      </w:r>
    </w:p>
    <w:p w14:paraId="220412D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投标人名称或组织结构与资格审查时不一致，投标人不以自己真正身份参加竞标，以挂户或以他人名义参与竞标的；投标人参加政府采购活动前三年内在经济活动中有重大违法记录的；</w:t>
      </w:r>
    </w:p>
    <w:p w14:paraId="1A3E453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对本招标文件中打★号的条款未完全响应的；</w:t>
      </w:r>
    </w:p>
    <w:p w14:paraId="65FACC4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投标文件附有采购人不能接受的条件；</w:t>
      </w:r>
    </w:p>
    <w:p w14:paraId="18775AE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商务技术响应文件中体现或包含投标报价。</w:t>
      </w:r>
    </w:p>
    <w:p w14:paraId="6D7CF26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若发现有意串标或提供虚假说明材料者；</w:t>
      </w:r>
    </w:p>
    <w:p w14:paraId="44E54F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评标小组认为技术或商务与招标文件偏离的部分过多，或在实质上不响应招标文件的</w:t>
      </w:r>
      <w:r>
        <w:rPr>
          <w:rFonts w:hint="eastAsia" w:asciiTheme="minorEastAsia" w:hAnsiTheme="minorEastAsia" w:eastAsiaTheme="minorEastAsia" w:cstheme="minorEastAsia"/>
          <w:color w:val="auto"/>
          <w:sz w:val="24"/>
          <w:highlight w:val="none"/>
        </w:rPr>
        <w:t>；</w:t>
      </w:r>
    </w:p>
    <w:p w14:paraId="5B700F88">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sz w:val="24"/>
          <w:highlight w:val="none"/>
        </w:rPr>
        <w:t>4</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eastAsiaTheme="minorEastAsia" w:cstheme="minorEastAsia"/>
          <w:b/>
          <w:bCs/>
          <w:color w:val="auto"/>
          <w:kern w:val="0"/>
          <w:sz w:val="24"/>
          <w:highlight w:val="none"/>
        </w:rPr>
        <w:t>评标过程中，非上述所罗列的情况，不得以无效标（废标）处理。</w:t>
      </w:r>
      <w:r>
        <w:rPr>
          <w:rFonts w:hint="eastAsia" w:asciiTheme="minorEastAsia" w:hAnsiTheme="minorEastAsia" w:eastAsiaTheme="minorEastAsia" w:cstheme="minorEastAsia"/>
          <w:b/>
          <w:bCs/>
          <w:color w:val="auto"/>
          <w:kern w:val="0"/>
          <w:sz w:val="24"/>
          <w:highlight w:val="none"/>
        </w:rPr>
        <w:tab/>
      </w:r>
    </w:p>
    <w:p w14:paraId="37AC4AEE">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52417D0C">
      <w:pPr>
        <w:pStyle w:val="2"/>
        <w:spacing w:before="0" w:after="0" w:line="360" w:lineRule="auto"/>
        <w:jc w:val="center"/>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bCs w:val="0"/>
          <w:color w:val="auto"/>
          <w:kern w:val="2"/>
          <w:sz w:val="36"/>
          <w:szCs w:val="36"/>
          <w:highlight w:val="none"/>
        </w:rPr>
        <w:t>第六章</w:t>
      </w:r>
      <w:r>
        <w:rPr>
          <w:rFonts w:hint="eastAsia" w:asciiTheme="minorEastAsia" w:hAnsiTheme="minorEastAsia" w:eastAsiaTheme="minorEastAsia" w:cstheme="minorEastAsia"/>
          <w:color w:val="auto"/>
          <w:sz w:val="36"/>
          <w:highlight w:val="none"/>
        </w:rPr>
        <w:t xml:space="preserve">  评标办法</w:t>
      </w:r>
    </w:p>
    <w:p w14:paraId="3004A7F5">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根据《中华人民共和国政府采购法》和有关规定，为更好地做到公开、公平、公正，结合本次招标的特点，特制定本评标办法。评标小组用</w:t>
      </w:r>
      <w:r>
        <w:rPr>
          <w:rFonts w:hint="eastAsia" w:asciiTheme="minorEastAsia" w:hAnsiTheme="minorEastAsia" w:eastAsiaTheme="minorEastAsia" w:cstheme="minorEastAsia"/>
          <w:color w:val="auto"/>
          <w:sz w:val="24"/>
          <w:szCs w:val="24"/>
          <w:highlight w:val="none"/>
          <w:u w:val="single"/>
        </w:rPr>
        <w:t>综合评分法</w:t>
      </w:r>
      <w:r>
        <w:rPr>
          <w:rFonts w:hint="eastAsia" w:asciiTheme="minorEastAsia" w:hAnsiTheme="minorEastAsia" w:eastAsiaTheme="minorEastAsia" w:cstheme="minorEastAsia"/>
          <w:color w:val="auto"/>
          <w:sz w:val="24"/>
          <w:szCs w:val="24"/>
          <w:highlight w:val="none"/>
        </w:rPr>
        <w:t>对招标项目作出评标结论。</w:t>
      </w:r>
    </w:p>
    <w:p w14:paraId="59D5A8B7">
      <w:pPr>
        <w:pStyle w:val="13"/>
        <w:keepNext w:val="0"/>
        <w:keepLines w:val="0"/>
        <w:pageBreakBefore w:val="0"/>
        <w:widowControl w:val="0"/>
        <w:kinsoku/>
        <w:wordWrap/>
        <w:overflowPunct/>
        <w:topLinePunct w:val="0"/>
        <w:autoSpaceDE/>
        <w:autoSpaceDN/>
        <w:bidi w:val="0"/>
        <w:adjustRightInd/>
        <w:snapToGrid/>
        <w:spacing w:line="360" w:lineRule="auto"/>
        <w:ind w:firstLine="468"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pacing w:val="-4"/>
          <w:sz w:val="24"/>
          <w:szCs w:val="24"/>
          <w:highlight w:val="none"/>
        </w:rPr>
        <w:t>一、</w:t>
      </w:r>
      <w:r>
        <w:rPr>
          <w:rFonts w:hint="eastAsia" w:asciiTheme="minorEastAsia" w:hAnsiTheme="minorEastAsia" w:eastAsiaTheme="minorEastAsia" w:cstheme="minorEastAsia"/>
          <w:b/>
          <w:bCs/>
          <w:color w:val="auto"/>
          <w:sz w:val="24"/>
          <w:szCs w:val="24"/>
          <w:highlight w:val="none"/>
        </w:rPr>
        <w:t>评审程序</w:t>
      </w:r>
    </w:p>
    <w:p w14:paraId="64C337C7">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对投标人的商务技术响应文件进行符合性审查，确定商务技术响应文件有效单位；</w:t>
      </w:r>
    </w:p>
    <w:p w14:paraId="047C3C20">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对商务技术响应文件有效的投标单位的商务技术响应文件进行评分，计算出各商务技术响应文件有效的投标单位的商务技术得分；</w:t>
      </w:r>
    </w:p>
    <w:p w14:paraId="46C25DA4">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对报价响应文件进行符合性审查；</w:t>
      </w:r>
    </w:p>
    <w:p w14:paraId="36A7EBDA">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对报价响应文件符合性审查通过的报价响应文件进行详细评审，计算出各报价响应文件有效的投标单位的报价得分和总得分</w:t>
      </w:r>
    </w:p>
    <w:p w14:paraId="0D79C797">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确定中标人、出具评标报告。</w:t>
      </w:r>
    </w:p>
    <w:p w14:paraId="6A1414D0">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b/>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评标小组以开标、评标、询标情况为基本依据，</w:t>
      </w:r>
      <w:r>
        <w:rPr>
          <w:rFonts w:hint="eastAsia" w:asciiTheme="minorEastAsia" w:hAnsiTheme="minorEastAsia" w:eastAsiaTheme="minorEastAsia" w:cstheme="minorEastAsia"/>
          <w:color w:val="auto"/>
          <w:spacing w:val="-4"/>
          <w:sz w:val="24"/>
          <w:szCs w:val="24"/>
          <w:highlight w:val="none"/>
        </w:rPr>
        <w:t>对有效的投标文件分商务技术响应文件、报价响应文件两个部分进行分析、评议，</w:t>
      </w:r>
      <w:r>
        <w:rPr>
          <w:rFonts w:hint="eastAsia" w:asciiTheme="minorEastAsia" w:hAnsiTheme="minorEastAsia" w:eastAsiaTheme="minorEastAsia" w:cstheme="minorEastAsia"/>
          <w:b/>
          <w:color w:val="auto"/>
          <w:spacing w:val="-4"/>
          <w:sz w:val="24"/>
          <w:szCs w:val="24"/>
          <w:highlight w:val="none"/>
        </w:rPr>
        <w:t>先评商务技术响应文件，后评报价响应文件，报价响应文件在开标室进行开封、唱标并作记录；对商务技术响应无效的供应商不再进行报价响应文件的评审。</w:t>
      </w:r>
    </w:p>
    <w:p w14:paraId="4A1BACEA">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二、评审办法</w:t>
      </w:r>
    </w:p>
    <w:p w14:paraId="542D1719">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商务技术响应文件评审</w:t>
      </w:r>
    </w:p>
    <w:p w14:paraId="00FAE5FF">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bCs/>
          <w:color w:val="auto"/>
          <w:sz w:val="24"/>
          <w:szCs w:val="24"/>
          <w:highlight w:val="none"/>
        </w:rPr>
        <w:t>根据招标文件第五章投标文件的有效性的规定，是否属于无效标或废标；</w:t>
      </w:r>
    </w:p>
    <w:p w14:paraId="008156F0">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bCs/>
          <w:color w:val="auto"/>
          <w:sz w:val="24"/>
          <w:szCs w:val="24"/>
          <w:highlight w:val="none"/>
        </w:rPr>
        <w:t>检查投标文件中是否有法定代表人或授权代表签字及加盖单位公章；</w:t>
      </w:r>
    </w:p>
    <w:p w14:paraId="49B97D45">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1.3检查标书的完整性，如营业执照、资质证书、法人委托书等招标文件要求提供的资料是否齐全；</w:t>
      </w:r>
    </w:p>
    <w:p w14:paraId="641D7419">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1.4检查拟供货物的规格参数、技术性能是否满足招标文件及本项目的要求；</w:t>
      </w:r>
    </w:p>
    <w:p w14:paraId="1C345AF6">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1.5检查供货计划是否提供；是否具体、完整、可行；</w:t>
      </w:r>
    </w:p>
    <w:p w14:paraId="234F864A">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1.6</w:t>
      </w:r>
      <w:r>
        <w:rPr>
          <w:rFonts w:hint="eastAsia" w:asciiTheme="minorEastAsia" w:hAnsiTheme="minorEastAsia" w:eastAsiaTheme="minorEastAsia" w:cstheme="minorEastAsia"/>
          <w:color w:val="auto"/>
          <w:sz w:val="24"/>
          <w:szCs w:val="24"/>
          <w:highlight w:val="none"/>
        </w:rPr>
        <w:t>检查质保期及售后服务承诺是否提供，是否符合招标文件的要求；</w:t>
      </w:r>
    </w:p>
    <w:p w14:paraId="1C6EFEB6">
      <w:pPr>
        <w:pStyle w:val="13"/>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1.7具体评审办法</w:t>
      </w:r>
    </w:p>
    <w:p w14:paraId="0239623C">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商务技术分满分为</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0分，分值分配见表格。评标委员会根据评分细则，对各投标人的商务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tbl>
      <w:tblPr>
        <w:tblStyle w:val="27"/>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026"/>
        <w:gridCol w:w="6612"/>
      </w:tblGrid>
      <w:tr w14:paraId="398F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907" w:type="dxa"/>
            <w:gridSpan w:val="2"/>
            <w:tcBorders>
              <w:tl2br w:val="nil"/>
              <w:tr2bl w:val="nil"/>
            </w:tcBorders>
            <w:noWrap w:val="0"/>
            <w:vAlign w:val="center"/>
          </w:tcPr>
          <w:p w14:paraId="4092FC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kern w:val="0"/>
                <w:sz w:val="24"/>
                <w:szCs w:val="24"/>
                <w:highlight w:val="none"/>
                <w:lang w:eastAsia="zh-CN"/>
              </w:rPr>
            </w:pPr>
            <w:bookmarkStart w:id="38" w:name="_Toc213038697"/>
            <w:bookmarkStart w:id="39" w:name="_Toc238878128"/>
            <w:bookmarkStart w:id="40" w:name="_Toc274303258"/>
            <w:bookmarkStart w:id="41" w:name="_Toc362250711"/>
            <w:r>
              <w:rPr>
                <w:rFonts w:hint="eastAsia" w:asciiTheme="minorEastAsia" w:hAnsiTheme="minorEastAsia" w:eastAsiaTheme="minorEastAsia" w:cstheme="minorEastAsia"/>
                <w:b/>
                <w:bCs/>
                <w:color w:val="auto"/>
                <w:kern w:val="0"/>
                <w:sz w:val="24"/>
                <w:szCs w:val="24"/>
                <w:highlight w:val="none"/>
                <w:lang w:eastAsia="zh-CN"/>
              </w:rPr>
              <w:t>评分</w:t>
            </w:r>
          </w:p>
        </w:tc>
        <w:tc>
          <w:tcPr>
            <w:tcW w:w="6612" w:type="dxa"/>
            <w:tcBorders>
              <w:tl2br w:val="nil"/>
              <w:tr2bl w:val="nil"/>
            </w:tcBorders>
            <w:noWrap w:val="0"/>
            <w:vAlign w:val="center"/>
          </w:tcPr>
          <w:p w14:paraId="78C3E5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eastAsia="zh-CN"/>
              </w:rPr>
              <w:t>评分细则</w:t>
            </w:r>
          </w:p>
        </w:tc>
      </w:tr>
      <w:tr w14:paraId="4DFC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81" w:type="dxa"/>
            <w:vMerge w:val="restart"/>
            <w:tcBorders>
              <w:tl2br w:val="nil"/>
              <w:tr2bl w:val="nil"/>
            </w:tcBorders>
            <w:noWrap w:val="0"/>
            <w:vAlign w:val="center"/>
          </w:tcPr>
          <w:p w14:paraId="22B6E8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质量标准与质量控制（4</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w:t>
            </w:r>
          </w:p>
        </w:tc>
        <w:tc>
          <w:tcPr>
            <w:tcW w:w="2026" w:type="dxa"/>
            <w:tcBorders>
              <w:tl2br w:val="nil"/>
              <w:tr2bl w:val="nil"/>
            </w:tcBorders>
            <w:noWrap w:val="0"/>
            <w:vAlign w:val="center"/>
          </w:tcPr>
          <w:p w14:paraId="469EF3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标准制定（</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p>
        </w:tc>
        <w:tc>
          <w:tcPr>
            <w:tcW w:w="6612" w:type="dxa"/>
            <w:tcBorders>
              <w:tl2br w:val="nil"/>
              <w:tr2bl w:val="nil"/>
            </w:tcBorders>
            <w:noWrap w:val="0"/>
            <w:vAlign w:val="center"/>
          </w:tcPr>
          <w:p w14:paraId="5AC8D8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参与省级或国家级中药配方颗粒质量标准制定（</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p>
          <w:p w14:paraId="13273F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参与国家级标准制定得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分，参与省级标准制定得3分，没有参与不得分。（上述各项不重复得分，取最高得分）。须提供相关资料复印件，以药监部门出具的证明文件为准，并且必须有列出投标人参与制定标准的具体品种清单。</w:t>
            </w:r>
          </w:p>
        </w:tc>
      </w:tr>
      <w:tr w14:paraId="07DE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1" w:type="dxa"/>
            <w:vMerge w:val="continue"/>
            <w:tcBorders>
              <w:tl2br w:val="nil"/>
              <w:tr2bl w:val="nil"/>
            </w:tcBorders>
            <w:noWrap w:val="0"/>
            <w:vAlign w:val="center"/>
          </w:tcPr>
          <w:p w14:paraId="5288B6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1824F3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实验室等级（5分）</w:t>
            </w:r>
          </w:p>
        </w:tc>
        <w:tc>
          <w:tcPr>
            <w:tcW w:w="6612" w:type="dxa"/>
            <w:tcBorders>
              <w:tl2br w:val="nil"/>
              <w:tr2bl w:val="nil"/>
            </w:tcBorders>
            <w:noWrap w:val="0"/>
            <w:vAlign w:val="center"/>
          </w:tcPr>
          <w:p w14:paraId="39ADCF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投标人独立拥有国家级实验室得5分，独立拥有省级实验室得3分，否则不得分。提供相关资料复印件。</w:t>
            </w:r>
          </w:p>
        </w:tc>
      </w:tr>
      <w:tr w14:paraId="45CD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81" w:type="dxa"/>
            <w:vMerge w:val="continue"/>
            <w:tcBorders>
              <w:tl2br w:val="nil"/>
              <w:tr2bl w:val="nil"/>
            </w:tcBorders>
            <w:noWrap w:val="0"/>
            <w:vAlign w:val="center"/>
          </w:tcPr>
          <w:p w14:paraId="6B9DDB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311CAB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2"/>
                <w:sz w:val="24"/>
                <w:szCs w:val="24"/>
                <w:highlight w:val="none"/>
              </w:rPr>
              <w:t>质量认可能力（5分）</w:t>
            </w:r>
          </w:p>
          <w:p w14:paraId="5681E5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6612" w:type="dxa"/>
            <w:tcBorders>
              <w:tl2br w:val="nil"/>
              <w:tr2bl w:val="nil"/>
            </w:tcBorders>
            <w:noWrap w:val="0"/>
            <w:vAlign w:val="center"/>
          </w:tcPr>
          <w:p w14:paraId="7E20A3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2"/>
                <w:sz w:val="24"/>
                <w:szCs w:val="24"/>
                <w:highlight w:val="none"/>
              </w:rPr>
              <w:t>投标企业（不包含子公司）获得地市级人民政府或行政部门颁发的质量奖得</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rPr>
              <w:t>分，获得地市级以下级别人民政府或行政部门颁发的质量奖得</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分，其余不得分。须提供相关证明材料</w:t>
            </w:r>
            <w:r>
              <w:rPr>
                <w:rFonts w:hint="eastAsia" w:asciiTheme="minorEastAsia" w:hAnsiTheme="minorEastAsia" w:eastAsiaTheme="minorEastAsia" w:cstheme="minorEastAsia"/>
                <w:color w:val="auto"/>
                <w:kern w:val="2"/>
                <w:sz w:val="24"/>
                <w:szCs w:val="24"/>
                <w:highlight w:val="none"/>
                <w:lang w:val="en-US" w:eastAsia="zh-CN"/>
              </w:rPr>
              <w:t>复印件</w:t>
            </w:r>
            <w:r>
              <w:rPr>
                <w:rFonts w:hint="eastAsia" w:asciiTheme="minorEastAsia" w:hAnsiTheme="minorEastAsia" w:eastAsiaTheme="minorEastAsia" w:cstheme="minorEastAsia"/>
                <w:color w:val="auto"/>
                <w:kern w:val="2"/>
                <w:sz w:val="24"/>
                <w:szCs w:val="24"/>
                <w:highlight w:val="none"/>
              </w:rPr>
              <w:t>。</w:t>
            </w:r>
          </w:p>
        </w:tc>
      </w:tr>
      <w:tr w14:paraId="6191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81" w:type="dxa"/>
            <w:vMerge w:val="continue"/>
            <w:tcBorders>
              <w:tl2br w:val="nil"/>
              <w:tr2bl w:val="nil"/>
            </w:tcBorders>
            <w:noWrap w:val="0"/>
            <w:vAlign w:val="center"/>
          </w:tcPr>
          <w:p w14:paraId="761342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338897B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2"/>
                <w:sz w:val="24"/>
                <w:szCs w:val="24"/>
                <w:highlight w:val="none"/>
              </w:rPr>
              <w:t>市场情况（6分）</w:t>
            </w:r>
          </w:p>
          <w:p w14:paraId="734D73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6612" w:type="dxa"/>
            <w:tcBorders>
              <w:tl2br w:val="nil"/>
              <w:tr2bl w:val="nil"/>
            </w:tcBorders>
            <w:noWrap w:val="0"/>
            <w:vAlign w:val="center"/>
          </w:tcPr>
          <w:p w14:paraId="4BD5AC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投标人20</w:t>
            </w:r>
            <w:r>
              <w:rPr>
                <w:rFonts w:hint="eastAsia" w:asciiTheme="minorEastAsia" w:hAnsiTheme="minorEastAsia" w:eastAsiaTheme="minorEastAsia" w:cstheme="minorEastAsia"/>
                <w:color w:val="auto"/>
                <w:kern w:val="2"/>
                <w:sz w:val="24"/>
                <w:szCs w:val="24"/>
                <w:highlight w:val="none"/>
                <w:lang w:val="en-US" w:eastAsia="zh-CN"/>
              </w:rPr>
              <w:t>23</w:t>
            </w:r>
            <w:r>
              <w:rPr>
                <w:rFonts w:hint="eastAsia" w:asciiTheme="minorEastAsia" w:hAnsiTheme="minorEastAsia" w:eastAsiaTheme="minorEastAsia" w:cstheme="minorEastAsia"/>
                <w:color w:val="auto"/>
                <w:kern w:val="2"/>
                <w:sz w:val="24"/>
                <w:szCs w:val="24"/>
                <w:highlight w:val="none"/>
              </w:rPr>
              <w:t>年1月1日以来（以合同签订时间为准），投标人配方颗粒在</w:t>
            </w:r>
            <w:r>
              <w:rPr>
                <w:rFonts w:hint="eastAsia" w:asciiTheme="minorEastAsia" w:hAnsiTheme="minorEastAsia" w:eastAsiaTheme="minorEastAsia" w:cstheme="minorEastAsia"/>
                <w:color w:val="auto"/>
                <w:kern w:val="2"/>
                <w:sz w:val="24"/>
                <w:szCs w:val="24"/>
                <w:highlight w:val="none"/>
                <w:lang w:eastAsia="zh-CN"/>
              </w:rPr>
              <w:t>浙江省</w:t>
            </w:r>
            <w:r>
              <w:rPr>
                <w:rFonts w:hint="eastAsia" w:asciiTheme="minorEastAsia" w:hAnsiTheme="minorEastAsia" w:eastAsiaTheme="minorEastAsia" w:cstheme="minorEastAsia"/>
                <w:color w:val="auto"/>
                <w:kern w:val="2"/>
                <w:sz w:val="24"/>
                <w:szCs w:val="24"/>
                <w:highlight w:val="none"/>
              </w:rPr>
              <w:t>三级医疗机构用户数量，每家1分，最高不超过6分，提供有效期内的合同或协议复印件加盖公章，是否有效业绩以评标委员会集体判定为准。</w:t>
            </w:r>
          </w:p>
          <w:p w14:paraId="7FA0A1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2"/>
                <w:sz w:val="24"/>
                <w:szCs w:val="24"/>
                <w:highlight w:val="none"/>
              </w:rPr>
              <w:t>投标人未按要求提供合同复印件</w:t>
            </w:r>
            <w:r>
              <w:rPr>
                <w:rFonts w:hint="eastAsia" w:asciiTheme="minorEastAsia" w:hAnsiTheme="minorEastAsia" w:eastAsiaTheme="minorEastAsia" w:cstheme="minorEastAsia"/>
                <w:color w:val="auto"/>
                <w:kern w:val="2"/>
                <w:sz w:val="24"/>
                <w:szCs w:val="24"/>
                <w:highlight w:val="none"/>
                <w:lang w:eastAsia="zh-CN"/>
              </w:rPr>
              <w:t>或</w:t>
            </w:r>
            <w:r>
              <w:rPr>
                <w:rFonts w:hint="eastAsia" w:asciiTheme="minorEastAsia" w:hAnsiTheme="minorEastAsia" w:eastAsiaTheme="minorEastAsia" w:cstheme="minorEastAsia"/>
                <w:color w:val="auto"/>
                <w:kern w:val="2"/>
                <w:sz w:val="24"/>
                <w:szCs w:val="24"/>
                <w:highlight w:val="none"/>
              </w:rPr>
              <w:t>提供的合同复印件字迹模糊无法辨识的，该笔业绩不得分。</w:t>
            </w:r>
          </w:p>
        </w:tc>
      </w:tr>
      <w:tr w14:paraId="285D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81" w:type="dxa"/>
            <w:vMerge w:val="continue"/>
            <w:tcBorders>
              <w:tl2br w:val="nil"/>
              <w:tr2bl w:val="nil"/>
            </w:tcBorders>
            <w:noWrap w:val="0"/>
            <w:vAlign w:val="center"/>
          </w:tcPr>
          <w:p w14:paraId="435428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5E0FED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检测项目（</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w:t>
            </w:r>
          </w:p>
        </w:tc>
        <w:tc>
          <w:tcPr>
            <w:tcW w:w="6612" w:type="dxa"/>
            <w:tcBorders>
              <w:tl2br w:val="nil"/>
              <w:tr2bl w:val="nil"/>
            </w:tcBorders>
            <w:noWrap w:val="0"/>
            <w:vAlign w:val="center"/>
          </w:tcPr>
          <w:p w14:paraId="258A1A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能够检测新版药典规定检测的项目（具体项目：黄曲霉素、重金属、农药残留、二氧化硫等）缺一项扣</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分，直至扣完。提供相关资料复印件。</w:t>
            </w:r>
          </w:p>
        </w:tc>
      </w:tr>
      <w:tr w14:paraId="58F9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81" w:type="dxa"/>
            <w:vMerge w:val="continue"/>
            <w:tcBorders>
              <w:tl2br w:val="nil"/>
              <w:tr2bl w:val="nil"/>
            </w:tcBorders>
            <w:noWrap w:val="0"/>
            <w:vAlign w:val="center"/>
          </w:tcPr>
          <w:p w14:paraId="100A5B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407302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浙江国</w:t>
            </w:r>
            <w:r>
              <w:rPr>
                <w:rFonts w:hint="eastAsia" w:asciiTheme="minorEastAsia" w:hAnsiTheme="minorEastAsia" w:eastAsiaTheme="minorEastAsia" w:cstheme="minorEastAsia"/>
                <w:color w:val="auto"/>
                <w:kern w:val="0"/>
                <w:sz w:val="24"/>
                <w:szCs w:val="24"/>
                <w:highlight w:val="none"/>
                <w:lang w:val="en-US" w:eastAsia="zh-CN"/>
              </w:rPr>
              <w:t>省</w:t>
            </w:r>
            <w:r>
              <w:rPr>
                <w:rFonts w:hint="eastAsia" w:asciiTheme="minorEastAsia" w:hAnsiTheme="minorEastAsia" w:eastAsiaTheme="minorEastAsia" w:cstheme="minorEastAsia"/>
                <w:color w:val="auto"/>
                <w:kern w:val="0"/>
                <w:sz w:val="24"/>
                <w:szCs w:val="24"/>
                <w:highlight w:val="none"/>
              </w:rPr>
              <w:t>标备案（5分）</w:t>
            </w:r>
          </w:p>
        </w:tc>
        <w:tc>
          <w:tcPr>
            <w:tcW w:w="6612" w:type="dxa"/>
            <w:tcBorders>
              <w:tl2br w:val="nil"/>
              <w:tr2bl w:val="nil"/>
            </w:tcBorders>
            <w:noWrap w:val="0"/>
            <w:vAlign w:val="center"/>
          </w:tcPr>
          <w:p w14:paraId="366A4E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提供浙江省国标省标品种数，备案品种</w:t>
            </w:r>
            <w:r>
              <w:rPr>
                <w:rFonts w:hint="eastAsia" w:asciiTheme="minorEastAsia" w:hAnsiTheme="minorEastAsia" w:eastAsiaTheme="minorEastAsia" w:cstheme="minorEastAsia"/>
                <w:color w:val="auto"/>
                <w:kern w:val="0"/>
                <w:sz w:val="24"/>
                <w:szCs w:val="24"/>
                <w:highlight w:val="none"/>
                <w:lang w:val="en-US" w:eastAsia="zh-CN"/>
              </w:rPr>
              <w:t>≥350种</w:t>
            </w:r>
            <w:r>
              <w:rPr>
                <w:rFonts w:hint="eastAsia" w:asciiTheme="minorEastAsia" w:hAnsiTheme="minorEastAsia" w:eastAsiaTheme="minorEastAsia" w:cstheme="minorEastAsia"/>
                <w:color w:val="auto"/>
                <w:kern w:val="0"/>
                <w:sz w:val="24"/>
                <w:szCs w:val="24"/>
                <w:highlight w:val="none"/>
              </w:rPr>
              <w:t>的得5分，</w:t>
            </w:r>
            <w:r>
              <w:rPr>
                <w:rFonts w:hint="eastAsia" w:asciiTheme="minorEastAsia" w:hAnsiTheme="minorEastAsia" w:eastAsiaTheme="minorEastAsia" w:cstheme="minorEastAsia"/>
                <w:color w:val="auto"/>
                <w:kern w:val="0"/>
                <w:sz w:val="24"/>
                <w:szCs w:val="24"/>
                <w:highlight w:val="none"/>
                <w:lang w:val="en-US" w:eastAsia="zh-CN"/>
              </w:rPr>
              <w:t>349-300种</w:t>
            </w:r>
            <w:r>
              <w:rPr>
                <w:rFonts w:hint="eastAsia" w:asciiTheme="minorEastAsia" w:hAnsiTheme="minorEastAsia" w:eastAsiaTheme="minorEastAsia" w:cstheme="minorEastAsia"/>
                <w:color w:val="auto"/>
                <w:kern w:val="0"/>
                <w:sz w:val="24"/>
                <w:szCs w:val="24"/>
                <w:highlight w:val="none"/>
              </w:rPr>
              <w:t>得4分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299-250种</w:t>
            </w:r>
            <w:r>
              <w:rPr>
                <w:rFonts w:hint="eastAsia" w:asciiTheme="minorEastAsia" w:hAnsiTheme="minorEastAsia" w:eastAsiaTheme="minorEastAsia" w:cstheme="minorEastAsia"/>
                <w:color w:val="auto"/>
                <w:kern w:val="0"/>
                <w:sz w:val="24"/>
                <w:szCs w:val="24"/>
                <w:highlight w:val="none"/>
              </w:rPr>
              <w:t>得3分，</w:t>
            </w:r>
            <w:r>
              <w:rPr>
                <w:rFonts w:hint="eastAsia" w:asciiTheme="minorEastAsia" w:hAnsiTheme="minorEastAsia" w:eastAsiaTheme="minorEastAsia" w:cstheme="minorEastAsia"/>
                <w:color w:val="auto"/>
                <w:kern w:val="0"/>
                <w:sz w:val="24"/>
                <w:szCs w:val="24"/>
                <w:highlight w:val="none"/>
                <w:lang w:val="en-US" w:eastAsia="zh-CN"/>
              </w:rPr>
              <w:t>250种以下</w:t>
            </w:r>
            <w:r>
              <w:rPr>
                <w:rFonts w:hint="eastAsia" w:asciiTheme="minorEastAsia" w:hAnsiTheme="minorEastAsia" w:eastAsiaTheme="minorEastAsia" w:cstheme="minorEastAsia"/>
                <w:color w:val="auto"/>
                <w:kern w:val="0"/>
                <w:sz w:val="24"/>
                <w:szCs w:val="24"/>
                <w:highlight w:val="none"/>
              </w:rPr>
              <w:t>不得分。</w:t>
            </w:r>
            <w:r>
              <w:rPr>
                <w:rFonts w:hint="eastAsia" w:asciiTheme="minorEastAsia" w:hAnsiTheme="minorEastAsia" w:eastAsiaTheme="minorEastAsia" w:cstheme="minorEastAsia"/>
                <w:color w:val="auto"/>
                <w:kern w:val="0"/>
                <w:sz w:val="24"/>
                <w:szCs w:val="24"/>
                <w:highlight w:val="none"/>
                <w:lang w:val="en-US" w:eastAsia="zh-CN"/>
              </w:rPr>
              <w:t>需根据商务技术文件中的“国省标品种浙江省备案目录”格式填写，未按格式填写的不得分。</w:t>
            </w:r>
          </w:p>
        </w:tc>
      </w:tr>
      <w:tr w14:paraId="7986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81" w:type="dxa"/>
            <w:vMerge w:val="continue"/>
            <w:tcBorders>
              <w:tl2br w:val="nil"/>
              <w:tr2bl w:val="nil"/>
            </w:tcBorders>
            <w:noWrap w:val="0"/>
            <w:vAlign w:val="center"/>
          </w:tcPr>
          <w:p w14:paraId="7E603A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7DF198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本院使用颗粒匹配度（6分）</w:t>
            </w:r>
          </w:p>
        </w:tc>
        <w:tc>
          <w:tcPr>
            <w:tcW w:w="6612" w:type="dxa"/>
            <w:tcBorders>
              <w:tl2br w:val="nil"/>
              <w:tr2bl w:val="nil"/>
            </w:tcBorders>
            <w:noWrap w:val="0"/>
            <w:vAlign w:val="center"/>
          </w:tcPr>
          <w:p w14:paraId="4CAF22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提供</w:t>
            </w:r>
            <w:r>
              <w:rPr>
                <w:rFonts w:hint="eastAsia" w:asciiTheme="minorEastAsia" w:hAnsiTheme="minorEastAsia" w:eastAsiaTheme="minorEastAsia" w:cstheme="minorEastAsia"/>
                <w:color w:val="auto"/>
                <w:kern w:val="0"/>
                <w:sz w:val="24"/>
                <w:szCs w:val="24"/>
                <w:highlight w:val="none"/>
                <w:lang w:val="en-US" w:eastAsia="zh-CN"/>
              </w:rPr>
              <w:t>与本院使用颗粒匹配度（可供货）的</w:t>
            </w:r>
            <w:r>
              <w:rPr>
                <w:rFonts w:hint="eastAsia" w:asciiTheme="minorEastAsia" w:hAnsiTheme="minorEastAsia" w:eastAsiaTheme="minorEastAsia" w:cstheme="minorEastAsia"/>
                <w:color w:val="auto"/>
                <w:kern w:val="0"/>
                <w:sz w:val="24"/>
                <w:szCs w:val="24"/>
                <w:highlight w:val="none"/>
              </w:rPr>
              <w:t>品种数</w:t>
            </w:r>
            <w:r>
              <w:rPr>
                <w:rFonts w:hint="eastAsia" w:asciiTheme="minorEastAsia" w:hAnsiTheme="minorEastAsia" w:eastAsiaTheme="minorEastAsia" w:cstheme="minorEastAsia"/>
                <w:color w:val="auto"/>
                <w:kern w:val="0"/>
                <w:sz w:val="24"/>
                <w:szCs w:val="24"/>
                <w:highlight w:val="none"/>
                <w:lang w:val="en-US" w:eastAsia="zh-CN"/>
              </w:rPr>
              <w:t>进行打分</w:t>
            </w:r>
            <w:r>
              <w:rPr>
                <w:rFonts w:hint="eastAsia" w:asciiTheme="minorEastAsia" w:hAnsiTheme="minorEastAsia" w:eastAsiaTheme="minorEastAsia" w:cstheme="minorEastAsia"/>
                <w:color w:val="auto"/>
                <w:kern w:val="0"/>
                <w:sz w:val="24"/>
                <w:szCs w:val="24"/>
                <w:highlight w:val="none"/>
              </w:rPr>
              <w:t>，品种最多的得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分，第二名得4分，第三名得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val="en-US" w:eastAsia="zh-CN"/>
              </w:rPr>
              <w:t>其余不得分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需根据招标文件附件中的“院内匹配用药目录”格式填写备案号，投标时提供“院内匹配用药目录”电子版（u盘），与投标文件同时递交，逾期不收，未按格式填写或未提供电子版的不得分。</w:t>
            </w:r>
          </w:p>
        </w:tc>
      </w:tr>
      <w:tr w14:paraId="513C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881" w:type="dxa"/>
            <w:vMerge w:val="continue"/>
            <w:tcBorders>
              <w:tl2br w:val="nil"/>
              <w:tr2bl w:val="nil"/>
            </w:tcBorders>
            <w:noWrap w:val="0"/>
            <w:vAlign w:val="center"/>
          </w:tcPr>
          <w:p w14:paraId="517E2C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1CD7B4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颗粒剂样品（</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tc>
        <w:tc>
          <w:tcPr>
            <w:tcW w:w="6612" w:type="dxa"/>
            <w:tcBorders>
              <w:tl2br w:val="nil"/>
              <w:tr2bl w:val="nil"/>
            </w:tcBorders>
            <w:noWrap w:val="0"/>
            <w:vAlign w:val="center"/>
          </w:tcPr>
          <w:p w14:paraId="49060A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投标人须在投标文件提交截止时间前随投标文件一同递交颗粒剂样品</w:t>
            </w:r>
          </w:p>
          <w:p w14:paraId="5228E6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根据投标人所提供的样品（金银花、菊花、黄芪、当归、党参、甘草、黄连、北柴胡、陈皮、薄荷）由评标委员会根据投标人提供的样品外观、质量、溶解度、口感、气味等方面进行评定，</w:t>
            </w:r>
            <w:r>
              <w:rPr>
                <w:rFonts w:hint="eastAsia" w:asciiTheme="minorEastAsia" w:hAnsiTheme="minorEastAsia" w:eastAsiaTheme="minorEastAsia" w:cstheme="minorEastAsia"/>
                <w:color w:val="auto"/>
                <w:kern w:val="0"/>
                <w:sz w:val="24"/>
                <w:szCs w:val="24"/>
                <w:highlight w:val="none"/>
                <w:lang w:val="en-US" w:eastAsia="zh-CN"/>
              </w:rPr>
              <w:t>由专家自行判定打分。每</w:t>
            </w:r>
            <w:r>
              <w:rPr>
                <w:rFonts w:hint="eastAsia" w:ascii="宋体" w:hAnsi="宋体" w:eastAsia="宋体" w:cs="宋体"/>
                <w:color w:val="auto"/>
                <w:kern w:val="0"/>
                <w:sz w:val="24"/>
                <w:szCs w:val="24"/>
                <w:highlight w:val="none"/>
              </w:rPr>
              <w:t>个样品分值为0-1分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共</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0分</w:t>
            </w:r>
            <w:r>
              <w:rPr>
                <w:rFonts w:hint="eastAsia" w:ascii="宋体" w:hAnsi="宋体" w:eastAsia="宋体" w:cs="宋体"/>
                <w:color w:val="auto"/>
                <w:kern w:val="0"/>
                <w:sz w:val="24"/>
                <w:szCs w:val="24"/>
                <w:highlight w:val="none"/>
                <w:lang w:eastAsia="zh-CN"/>
              </w:rPr>
              <w:t>。</w:t>
            </w:r>
          </w:p>
        </w:tc>
      </w:tr>
      <w:tr w14:paraId="125E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81" w:type="dxa"/>
            <w:vMerge w:val="restart"/>
            <w:tcBorders>
              <w:tl2br w:val="nil"/>
              <w:tr2bl w:val="nil"/>
            </w:tcBorders>
            <w:noWrap w:val="0"/>
            <w:vAlign w:val="center"/>
          </w:tcPr>
          <w:p w14:paraId="519846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药材溯源（5分）</w:t>
            </w:r>
          </w:p>
        </w:tc>
        <w:tc>
          <w:tcPr>
            <w:tcW w:w="2026" w:type="dxa"/>
            <w:tcBorders>
              <w:tl2br w:val="nil"/>
              <w:tr2bl w:val="nil"/>
            </w:tcBorders>
            <w:noWrap w:val="0"/>
            <w:vAlign w:val="center"/>
          </w:tcPr>
          <w:p w14:paraId="339C82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药材来源</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3分）</w:t>
            </w:r>
          </w:p>
        </w:tc>
        <w:tc>
          <w:tcPr>
            <w:tcW w:w="6612" w:type="dxa"/>
            <w:tcBorders>
              <w:tl2br w:val="nil"/>
              <w:tr2bl w:val="nil"/>
            </w:tcBorders>
            <w:noWrap w:val="0"/>
            <w:vAlign w:val="center"/>
          </w:tcPr>
          <w:p w14:paraId="55CD0C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具有自建或合作种植基地，品种＞50个的得3分，10＜品种≤50个的得2分，品种≤10个的不得分。提供相关资料复印件。</w:t>
            </w:r>
          </w:p>
        </w:tc>
      </w:tr>
      <w:tr w14:paraId="1FAB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1" w:type="dxa"/>
            <w:vMerge w:val="continue"/>
            <w:tcBorders>
              <w:tl2br w:val="nil"/>
              <w:tr2bl w:val="nil"/>
            </w:tcBorders>
            <w:noWrap w:val="0"/>
            <w:vAlign w:val="center"/>
          </w:tcPr>
          <w:p w14:paraId="0F10D14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41C47B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质量追溯系统（2分）</w:t>
            </w:r>
          </w:p>
        </w:tc>
        <w:tc>
          <w:tcPr>
            <w:tcW w:w="6612" w:type="dxa"/>
            <w:tcBorders>
              <w:tl2br w:val="nil"/>
              <w:tr2bl w:val="nil"/>
            </w:tcBorders>
            <w:noWrap w:val="0"/>
            <w:vAlign w:val="center"/>
          </w:tcPr>
          <w:p w14:paraId="78F14C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拥有中药材溯源系统得2分，</w:t>
            </w:r>
            <w:r>
              <w:rPr>
                <w:rFonts w:hint="eastAsia" w:asciiTheme="minorEastAsia" w:hAnsiTheme="minorEastAsia" w:eastAsiaTheme="minorEastAsia" w:cstheme="minorEastAsia"/>
                <w:color w:val="auto"/>
                <w:kern w:val="0"/>
                <w:sz w:val="24"/>
                <w:szCs w:val="24"/>
                <w:highlight w:val="none"/>
                <w:lang w:eastAsia="zh-CN"/>
              </w:rPr>
              <w:t>否则</w:t>
            </w:r>
            <w:r>
              <w:rPr>
                <w:rFonts w:hint="eastAsia" w:asciiTheme="minorEastAsia" w:hAnsiTheme="minorEastAsia" w:eastAsiaTheme="minorEastAsia" w:cstheme="minorEastAsia"/>
                <w:color w:val="auto"/>
                <w:kern w:val="0"/>
                <w:sz w:val="24"/>
                <w:szCs w:val="24"/>
                <w:highlight w:val="none"/>
              </w:rPr>
              <w:t>得0分。须提供相关资料复印件。</w:t>
            </w:r>
          </w:p>
        </w:tc>
      </w:tr>
      <w:tr w14:paraId="3D40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81" w:type="dxa"/>
            <w:vMerge w:val="restart"/>
            <w:tcBorders>
              <w:tl2br w:val="nil"/>
              <w:tr2bl w:val="nil"/>
            </w:tcBorders>
            <w:noWrap w:val="0"/>
            <w:vAlign w:val="center"/>
          </w:tcPr>
          <w:p w14:paraId="47C0EC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服务承诺（2</w:t>
            </w:r>
            <w:r>
              <w:rPr>
                <w:rFonts w:hint="eastAsia" w:asciiTheme="minorEastAsia" w:hAnsiTheme="minorEastAsia" w:eastAsia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分）</w:t>
            </w:r>
          </w:p>
        </w:tc>
        <w:tc>
          <w:tcPr>
            <w:tcW w:w="2026" w:type="dxa"/>
            <w:vMerge w:val="restart"/>
            <w:tcBorders>
              <w:tl2br w:val="nil"/>
              <w:tr2bl w:val="nil"/>
            </w:tcBorders>
            <w:noWrap w:val="0"/>
            <w:vAlign w:val="center"/>
          </w:tcPr>
          <w:p w14:paraId="182C612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质量、售后、退换货承诺（</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w:t>
            </w:r>
          </w:p>
        </w:tc>
        <w:tc>
          <w:tcPr>
            <w:tcW w:w="6612" w:type="dxa"/>
            <w:tcBorders>
              <w:tl2br w:val="nil"/>
              <w:tr2bl w:val="nil"/>
            </w:tcBorders>
            <w:noWrap w:val="0"/>
            <w:vAlign w:val="center"/>
          </w:tcPr>
          <w:p w14:paraId="159D89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质量保证承诺</w:t>
            </w:r>
            <w:r>
              <w:rPr>
                <w:rFonts w:hint="eastAsia" w:asciiTheme="minorEastAsia" w:hAnsiTheme="minorEastAsia" w:eastAsiaTheme="minorEastAsia" w:cstheme="minorEastAsia"/>
                <w:color w:val="auto"/>
                <w:kern w:val="0"/>
                <w:sz w:val="24"/>
                <w:szCs w:val="24"/>
                <w:highlight w:val="none"/>
                <w:lang w:eastAsia="zh-CN"/>
              </w:rPr>
              <w:t>：</w:t>
            </w:r>
          </w:p>
          <w:p w14:paraId="78F9A47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投标人承诺</w:t>
            </w:r>
            <w:r>
              <w:rPr>
                <w:rFonts w:hint="eastAsia" w:asciiTheme="minorEastAsia" w:hAnsiTheme="minorEastAsia" w:eastAsiaTheme="minorEastAsia" w:cstheme="minorEastAsia"/>
                <w:color w:val="auto"/>
                <w:kern w:val="0"/>
                <w:sz w:val="24"/>
                <w:szCs w:val="24"/>
                <w:highlight w:val="none"/>
              </w:rPr>
              <w:t>颗粒剂成品质量必须符合相关标准，成品包装标识符合相关规定，入库有效期不少于1</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年（得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分），无承诺不得分。提供承诺书及详细响应处理方案加盖投标人公章。</w:t>
            </w:r>
          </w:p>
        </w:tc>
      </w:tr>
      <w:tr w14:paraId="2051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81" w:type="dxa"/>
            <w:vMerge w:val="continue"/>
            <w:tcBorders>
              <w:tl2br w:val="nil"/>
              <w:tr2bl w:val="nil"/>
            </w:tcBorders>
            <w:noWrap w:val="0"/>
            <w:vAlign w:val="center"/>
          </w:tcPr>
          <w:p w14:paraId="3F4B89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vMerge w:val="continue"/>
            <w:tcBorders>
              <w:tl2br w:val="nil"/>
              <w:tr2bl w:val="nil"/>
            </w:tcBorders>
            <w:noWrap w:val="0"/>
            <w:vAlign w:val="center"/>
          </w:tcPr>
          <w:p w14:paraId="56B78D6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6612" w:type="dxa"/>
            <w:tcBorders>
              <w:tl2br w:val="nil"/>
              <w:tr2bl w:val="nil"/>
            </w:tcBorders>
            <w:noWrap w:val="0"/>
            <w:vAlign w:val="center"/>
          </w:tcPr>
          <w:p w14:paraId="296A66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售后服务承诺</w:t>
            </w:r>
            <w:r>
              <w:rPr>
                <w:rFonts w:hint="eastAsia" w:asciiTheme="minorEastAsia" w:hAnsiTheme="minorEastAsia" w:eastAsiaTheme="minorEastAsia" w:cstheme="minorEastAsia"/>
                <w:color w:val="auto"/>
                <w:kern w:val="0"/>
                <w:sz w:val="24"/>
                <w:szCs w:val="24"/>
                <w:highlight w:val="none"/>
                <w:lang w:eastAsia="zh-CN"/>
              </w:rPr>
              <w:t>：</w:t>
            </w:r>
          </w:p>
          <w:p w14:paraId="6A0672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lang w:val="en-US" w:eastAsia="zh-CN"/>
              </w:rPr>
              <w:t>承诺</w:t>
            </w:r>
            <w:r>
              <w:rPr>
                <w:rFonts w:hint="eastAsia" w:asciiTheme="minorEastAsia" w:hAnsiTheme="minorEastAsia" w:eastAsiaTheme="minorEastAsia" w:cstheme="minorEastAsia"/>
                <w:color w:val="auto"/>
                <w:kern w:val="0"/>
                <w:sz w:val="24"/>
                <w:szCs w:val="24"/>
                <w:highlight w:val="none"/>
              </w:rPr>
              <w:t>设立有独立的售后服务部门并有专人负责，出现货品售后纠纷、投诉等事项，6小时内项目负责人赶到并处理的得2分，</w:t>
            </w:r>
            <w:r>
              <w:rPr>
                <w:rFonts w:hint="eastAsia" w:asciiTheme="minorEastAsia" w:hAnsiTheme="minorEastAsia" w:eastAsiaTheme="minorEastAsia" w:cstheme="minorEastAsia"/>
                <w:color w:val="auto"/>
                <w:kern w:val="0"/>
                <w:sz w:val="24"/>
                <w:szCs w:val="24"/>
                <w:highlight w:val="none"/>
                <w:lang w:val="en-US" w:eastAsia="zh-CN"/>
              </w:rPr>
              <w:t>未承诺或承诺内容未达到要求的</w:t>
            </w:r>
            <w:r>
              <w:rPr>
                <w:rFonts w:hint="eastAsia" w:asciiTheme="minorEastAsia" w:hAnsiTheme="minorEastAsia" w:eastAsiaTheme="minorEastAsia" w:cstheme="minorEastAsia"/>
                <w:color w:val="auto"/>
                <w:kern w:val="0"/>
                <w:sz w:val="24"/>
                <w:szCs w:val="24"/>
                <w:highlight w:val="none"/>
              </w:rPr>
              <w:t>不得分。提供承诺书及详细响应处理方案加盖投标人公章。</w:t>
            </w:r>
          </w:p>
        </w:tc>
      </w:tr>
      <w:tr w14:paraId="6AF2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81" w:type="dxa"/>
            <w:vMerge w:val="continue"/>
            <w:tcBorders>
              <w:tl2br w:val="nil"/>
              <w:tr2bl w:val="nil"/>
            </w:tcBorders>
            <w:noWrap w:val="0"/>
            <w:vAlign w:val="center"/>
          </w:tcPr>
          <w:p w14:paraId="0F1777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vMerge w:val="continue"/>
            <w:tcBorders>
              <w:tl2br w:val="nil"/>
              <w:tr2bl w:val="nil"/>
            </w:tcBorders>
            <w:noWrap w:val="0"/>
            <w:vAlign w:val="center"/>
          </w:tcPr>
          <w:p w14:paraId="55E24B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6612" w:type="dxa"/>
            <w:tcBorders>
              <w:tl2br w:val="nil"/>
              <w:tr2bl w:val="nil"/>
            </w:tcBorders>
            <w:noWrap w:val="0"/>
            <w:vAlign w:val="center"/>
          </w:tcPr>
          <w:p w14:paraId="050DE4B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退、换货承诺</w:t>
            </w:r>
            <w:r>
              <w:rPr>
                <w:rFonts w:hint="eastAsia" w:asciiTheme="minorEastAsia" w:hAnsiTheme="minorEastAsia" w:eastAsiaTheme="minorEastAsia" w:cstheme="minorEastAsia"/>
                <w:color w:val="auto"/>
                <w:kern w:val="0"/>
                <w:sz w:val="24"/>
                <w:szCs w:val="24"/>
                <w:highlight w:val="none"/>
                <w:lang w:eastAsia="zh-CN"/>
              </w:rPr>
              <w:t>：</w:t>
            </w:r>
          </w:p>
          <w:p w14:paraId="606CCE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提供免费退、换承诺书</w:t>
            </w:r>
            <w:r>
              <w:rPr>
                <w:rFonts w:hint="eastAsia" w:asciiTheme="minorEastAsia" w:hAnsiTheme="minorEastAsia" w:eastAsiaTheme="minorEastAsia" w:cstheme="minorEastAsia"/>
                <w:color w:val="auto"/>
                <w:kern w:val="0"/>
                <w:sz w:val="24"/>
                <w:szCs w:val="24"/>
                <w:highlight w:val="none"/>
                <w:lang w:val="en-US" w:eastAsia="zh-CN"/>
              </w:rPr>
              <w:t>的得2分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未承诺或承诺内容未达到要求的</w:t>
            </w:r>
            <w:r>
              <w:rPr>
                <w:rFonts w:hint="eastAsia" w:asciiTheme="minorEastAsia" w:hAnsiTheme="minorEastAsia" w:eastAsiaTheme="minorEastAsia" w:cstheme="minorEastAsia"/>
                <w:color w:val="auto"/>
                <w:kern w:val="0"/>
                <w:sz w:val="24"/>
                <w:szCs w:val="24"/>
                <w:highlight w:val="none"/>
              </w:rPr>
              <w:t>不得分。</w:t>
            </w:r>
          </w:p>
        </w:tc>
      </w:tr>
      <w:tr w14:paraId="320D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81" w:type="dxa"/>
            <w:vMerge w:val="continue"/>
            <w:tcBorders>
              <w:tl2br w:val="nil"/>
              <w:tr2bl w:val="nil"/>
            </w:tcBorders>
            <w:noWrap w:val="0"/>
            <w:vAlign w:val="center"/>
          </w:tcPr>
          <w:p w14:paraId="00BEA9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19F084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2"/>
                <w:sz w:val="24"/>
                <w:szCs w:val="24"/>
                <w:highlight w:val="none"/>
              </w:rPr>
              <w:t>优惠承诺（3分）</w:t>
            </w:r>
          </w:p>
          <w:p w14:paraId="1FE699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highlight w:val="none"/>
              </w:rPr>
            </w:pPr>
          </w:p>
        </w:tc>
        <w:tc>
          <w:tcPr>
            <w:tcW w:w="6612" w:type="dxa"/>
            <w:tcBorders>
              <w:tl2br w:val="nil"/>
              <w:tr2bl w:val="nil"/>
            </w:tcBorders>
            <w:noWrap w:val="0"/>
            <w:vAlign w:val="center"/>
          </w:tcPr>
          <w:p w14:paraId="0B624C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根据投标人针对本项目拟定的</w:t>
            </w:r>
            <w:r>
              <w:rPr>
                <w:rFonts w:hint="eastAsia" w:asciiTheme="minorEastAsia" w:hAnsiTheme="minorEastAsia" w:eastAsiaTheme="minorEastAsia" w:cstheme="minorEastAsia"/>
                <w:color w:val="auto"/>
                <w:kern w:val="2"/>
                <w:sz w:val="24"/>
                <w:szCs w:val="24"/>
                <w:highlight w:val="none"/>
              </w:rPr>
              <w:t>有利于医院发展、科研项目、中医药文化交流活动、学术建设、提供院内特色科室项目支持等优惠措施和方案</w:t>
            </w:r>
            <w:r>
              <w:rPr>
                <w:rFonts w:hint="eastAsia" w:asciiTheme="minorEastAsia" w:hAnsiTheme="minorEastAsia" w:eastAsiaTheme="minorEastAsia" w:cstheme="minorEastAsia"/>
                <w:color w:val="auto"/>
                <w:kern w:val="2"/>
                <w:sz w:val="24"/>
                <w:szCs w:val="24"/>
                <w:highlight w:val="none"/>
                <w:lang w:val="en-US" w:eastAsia="zh-CN"/>
              </w:rPr>
              <w:t>由评委自行判定打分。</w:t>
            </w:r>
          </w:p>
        </w:tc>
      </w:tr>
      <w:tr w14:paraId="0434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81" w:type="dxa"/>
            <w:vMerge w:val="continue"/>
            <w:tcBorders>
              <w:tl2br w:val="nil"/>
              <w:tr2bl w:val="nil"/>
            </w:tcBorders>
            <w:noWrap w:val="0"/>
            <w:vAlign w:val="center"/>
          </w:tcPr>
          <w:p w14:paraId="0E4CF8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vMerge w:val="restart"/>
            <w:tcBorders>
              <w:tl2br w:val="nil"/>
              <w:tr2bl w:val="nil"/>
            </w:tcBorders>
            <w:noWrap w:val="0"/>
            <w:vAlign w:val="center"/>
          </w:tcPr>
          <w:p w14:paraId="2BC5D4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药房和设备承诺（</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分）</w:t>
            </w:r>
          </w:p>
        </w:tc>
        <w:tc>
          <w:tcPr>
            <w:tcW w:w="6612" w:type="dxa"/>
            <w:tcBorders>
              <w:tl2br w:val="nil"/>
              <w:tr2bl w:val="nil"/>
            </w:tcBorders>
            <w:noWrap w:val="0"/>
            <w:vAlign w:val="center"/>
          </w:tcPr>
          <w:p w14:paraId="071DE6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智能化药房建设承诺（</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 xml:space="preserve">分） </w:t>
            </w:r>
          </w:p>
          <w:p w14:paraId="564EB9B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取得中标资格后1个月内完成</w:t>
            </w:r>
            <w:r>
              <w:rPr>
                <w:rFonts w:hint="eastAsia" w:asciiTheme="minorEastAsia" w:hAnsiTheme="minorEastAsia" w:eastAsiaTheme="minorEastAsia" w:cstheme="minorEastAsia"/>
                <w:color w:val="auto"/>
                <w:kern w:val="0"/>
                <w:sz w:val="24"/>
                <w:szCs w:val="24"/>
                <w:highlight w:val="none"/>
              </w:rPr>
              <w:t>智能中药房的装修</w:t>
            </w:r>
            <w:r>
              <w:rPr>
                <w:rFonts w:hint="eastAsia" w:asciiTheme="minorEastAsia" w:hAnsiTheme="minorEastAsia" w:eastAsiaTheme="minorEastAsia" w:cstheme="minorEastAsia"/>
                <w:color w:val="auto"/>
                <w:kern w:val="0"/>
                <w:sz w:val="24"/>
                <w:szCs w:val="24"/>
                <w:highlight w:val="none"/>
                <w:lang w:val="en-US" w:eastAsia="zh-CN"/>
              </w:rPr>
              <w:t>及</w:t>
            </w:r>
            <w:r>
              <w:rPr>
                <w:rFonts w:hint="eastAsia" w:asciiTheme="minorEastAsia" w:hAnsiTheme="minorEastAsia" w:eastAsiaTheme="minorEastAsia" w:cstheme="minorEastAsia"/>
                <w:color w:val="auto"/>
                <w:kern w:val="0"/>
                <w:sz w:val="24"/>
                <w:szCs w:val="24"/>
                <w:highlight w:val="none"/>
              </w:rPr>
              <w:t>信息化建设，智能调配系统与医院系统对接，定期对系统进行更新、对设备进行维护和保养，包括后期如中药配方颗粒药房移址搬迁或改造等，并承担所有费用。提供承诺书加盖投标人公章得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分，无承诺</w:t>
            </w:r>
            <w:r>
              <w:rPr>
                <w:rFonts w:hint="eastAsia" w:asciiTheme="minorEastAsia" w:hAnsiTheme="minorEastAsia" w:eastAsiaTheme="minorEastAsia" w:cstheme="minorEastAsia"/>
                <w:color w:val="auto"/>
                <w:kern w:val="0"/>
                <w:sz w:val="24"/>
                <w:szCs w:val="24"/>
                <w:highlight w:val="none"/>
                <w:lang w:val="en-US" w:eastAsia="zh-CN"/>
              </w:rPr>
              <w:t>或承诺内容未达到要求的</w:t>
            </w:r>
            <w:r>
              <w:rPr>
                <w:rFonts w:hint="eastAsia" w:asciiTheme="minorEastAsia" w:hAnsiTheme="minorEastAsia" w:eastAsiaTheme="minorEastAsia" w:cstheme="minorEastAsia"/>
                <w:color w:val="auto"/>
                <w:kern w:val="0"/>
                <w:sz w:val="24"/>
                <w:szCs w:val="24"/>
                <w:highlight w:val="none"/>
              </w:rPr>
              <w:t>不得分。</w:t>
            </w:r>
          </w:p>
        </w:tc>
      </w:tr>
      <w:tr w14:paraId="056A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81" w:type="dxa"/>
            <w:vMerge w:val="continue"/>
            <w:tcBorders>
              <w:tl2br w:val="nil"/>
              <w:tr2bl w:val="nil"/>
            </w:tcBorders>
            <w:noWrap w:val="0"/>
            <w:vAlign w:val="center"/>
          </w:tcPr>
          <w:p w14:paraId="180592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vMerge w:val="continue"/>
            <w:tcBorders>
              <w:tl2br w:val="nil"/>
              <w:tr2bl w:val="nil"/>
            </w:tcBorders>
            <w:noWrap w:val="0"/>
            <w:vAlign w:val="center"/>
          </w:tcPr>
          <w:p w14:paraId="3905D4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6612" w:type="dxa"/>
            <w:tcBorders>
              <w:tl2br w:val="nil"/>
              <w:tr2bl w:val="nil"/>
            </w:tcBorders>
            <w:noWrap w:val="0"/>
            <w:vAlign w:val="center"/>
          </w:tcPr>
          <w:p w14:paraId="57C7AF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设备维护承诺（2分）</w:t>
            </w:r>
          </w:p>
          <w:p w14:paraId="1DB2EC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故障维修响应时间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调配机在使用过程中出现问题，要求及时到现场维修、排除故障、恢复正常运行。承诺6小时内完成得2分，否则得0分。提供承诺书加盖投标人公章。</w:t>
            </w:r>
          </w:p>
        </w:tc>
      </w:tr>
      <w:tr w14:paraId="20AA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81" w:type="dxa"/>
            <w:vMerge w:val="continue"/>
            <w:tcBorders>
              <w:tl2br w:val="nil"/>
              <w:tr2bl w:val="nil"/>
            </w:tcBorders>
            <w:noWrap w:val="0"/>
            <w:vAlign w:val="center"/>
          </w:tcPr>
          <w:p w14:paraId="3CA92B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vMerge w:val="continue"/>
            <w:tcBorders>
              <w:tl2br w:val="nil"/>
              <w:tr2bl w:val="nil"/>
            </w:tcBorders>
            <w:noWrap w:val="0"/>
            <w:vAlign w:val="center"/>
          </w:tcPr>
          <w:p w14:paraId="6AACF1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6612" w:type="dxa"/>
            <w:tcBorders>
              <w:tl2br w:val="nil"/>
              <w:tr2bl w:val="nil"/>
            </w:tcBorders>
            <w:noWrap w:val="0"/>
            <w:vAlign w:val="center"/>
          </w:tcPr>
          <w:p w14:paraId="770FC6B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调剂</w:t>
            </w:r>
            <w:r>
              <w:rPr>
                <w:rFonts w:hint="eastAsia" w:asciiTheme="minorEastAsia" w:hAnsiTheme="minorEastAsia" w:eastAsiaTheme="minorEastAsia" w:cstheme="minorEastAsia"/>
                <w:color w:val="auto"/>
                <w:kern w:val="0"/>
                <w:sz w:val="24"/>
                <w:szCs w:val="24"/>
                <w:highlight w:val="none"/>
              </w:rPr>
              <w:t>人员管理（2分）</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lang w:val="zh-CN"/>
              </w:rPr>
              <w:t>能提供与实际工作量相适应的具有资质的调剂人员，并承担及时发放相应</w:t>
            </w:r>
            <w:r>
              <w:rPr>
                <w:rFonts w:hint="eastAsia" w:asciiTheme="minorEastAsia" w:hAnsiTheme="minorEastAsia" w:eastAsiaTheme="minorEastAsia" w:cstheme="minorEastAsia"/>
                <w:color w:val="auto"/>
                <w:kern w:val="0"/>
                <w:sz w:val="24"/>
                <w:szCs w:val="24"/>
                <w:highlight w:val="none"/>
                <w:lang w:val="en-US" w:eastAsia="zh-CN"/>
              </w:rPr>
              <w:t>福利薪酬</w:t>
            </w:r>
            <w:r>
              <w:rPr>
                <w:rFonts w:hint="eastAsia" w:asciiTheme="minorEastAsia" w:hAnsiTheme="minorEastAsia" w:eastAsiaTheme="minorEastAsia" w:cstheme="minorEastAsia"/>
                <w:color w:val="auto"/>
                <w:kern w:val="0"/>
                <w:sz w:val="24"/>
                <w:szCs w:val="24"/>
                <w:highlight w:val="none"/>
                <w:lang w:val="zh-CN"/>
              </w:rPr>
              <w:t>费用得2分，承诺</w:t>
            </w:r>
            <w:r>
              <w:rPr>
                <w:rFonts w:hint="eastAsia" w:asciiTheme="minorEastAsia" w:hAnsiTheme="minorEastAsia" w:eastAsiaTheme="minorEastAsia" w:cstheme="minorEastAsia"/>
                <w:color w:val="auto"/>
                <w:kern w:val="0"/>
                <w:sz w:val="24"/>
                <w:szCs w:val="24"/>
                <w:highlight w:val="none"/>
                <w:lang w:val="zh-CN" w:eastAsia="zh-CN"/>
              </w:rPr>
              <w:t>或承诺内容不符合的</w:t>
            </w:r>
            <w:r>
              <w:rPr>
                <w:rFonts w:hint="eastAsia" w:asciiTheme="minorEastAsia" w:hAnsiTheme="minorEastAsia" w:eastAsiaTheme="minorEastAsia" w:cstheme="minorEastAsia"/>
                <w:color w:val="auto"/>
                <w:kern w:val="0"/>
                <w:sz w:val="24"/>
                <w:szCs w:val="24"/>
                <w:highlight w:val="none"/>
                <w:lang w:val="zh-CN"/>
              </w:rPr>
              <w:t>不得</w:t>
            </w:r>
            <w:r>
              <w:rPr>
                <w:rFonts w:hint="eastAsia" w:asciiTheme="minorEastAsia" w:hAnsiTheme="minorEastAsia" w:eastAsiaTheme="minorEastAsia" w:cstheme="minorEastAsia"/>
                <w:color w:val="auto"/>
                <w:kern w:val="0"/>
                <w:sz w:val="24"/>
                <w:szCs w:val="24"/>
                <w:highlight w:val="none"/>
                <w:lang w:val="zh-CN" w:eastAsia="zh-CN"/>
              </w:rPr>
              <w:t>分。</w:t>
            </w:r>
          </w:p>
        </w:tc>
      </w:tr>
      <w:tr w14:paraId="114B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81" w:type="dxa"/>
            <w:vMerge w:val="continue"/>
            <w:tcBorders>
              <w:tl2br w:val="nil"/>
              <w:tr2bl w:val="nil"/>
            </w:tcBorders>
            <w:noWrap w:val="0"/>
            <w:vAlign w:val="center"/>
          </w:tcPr>
          <w:p w14:paraId="5A2168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vMerge w:val="restart"/>
            <w:tcBorders>
              <w:tl2br w:val="nil"/>
              <w:tr2bl w:val="nil"/>
            </w:tcBorders>
            <w:noWrap w:val="0"/>
            <w:vAlign w:val="center"/>
          </w:tcPr>
          <w:p w14:paraId="5896A9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配送能力和承诺（</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w:t>
            </w:r>
          </w:p>
        </w:tc>
        <w:tc>
          <w:tcPr>
            <w:tcW w:w="6612" w:type="dxa"/>
            <w:tcBorders>
              <w:tl2br w:val="nil"/>
              <w:tr2bl w:val="nil"/>
            </w:tcBorders>
            <w:noWrap w:val="0"/>
            <w:vAlign w:val="center"/>
          </w:tcPr>
          <w:p w14:paraId="71D3D7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配送能力（</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w:t>
            </w:r>
          </w:p>
          <w:p w14:paraId="6D2830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投标人具有直接配送能力，承诺一般药品24小时内配送到位</w:t>
            </w:r>
            <w:r>
              <w:rPr>
                <w:rFonts w:hint="eastAsia" w:asciiTheme="minorEastAsia" w:hAnsiTheme="minorEastAsia" w:eastAsiaTheme="minorEastAsia" w:cstheme="minorEastAsia"/>
                <w:color w:val="auto"/>
                <w:kern w:val="0"/>
                <w:sz w:val="24"/>
                <w:szCs w:val="24"/>
                <w:highlight w:val="none"/>
                <w:lang w:val="en-US" w:eastAsia="zh-CN"/>
              </w:rPr>
              <w:t>的得2</w:t>
            </w:r>
            <w:r>
              <w:rPr>
                <w:rFonts w:hint="eastAsia" w:asciiTheme="minorEastAsia" w:hAnsiTheme="minorEastAsia" w:eastAsiaTheme="minorEastAsia" w:cstheme="minorEastAsia"/>
                <w:color w:val="auto"/>
                <w:kern w:val="0"/>
                <w:sz w:val="24"/>
                <w:szCs w:val="24"/>
                <w:highlight w:val="none"/>
              </w:rPr>
              <w:t>分。24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48小时配送到位</w:t>
            </w:r>
            <w:r>
              <w:rPr>
                <w:rFonts w:hint="eastAsia" w:asciiTheme="minorEastAsia" w:hAnsiTheme="minorEastAsia" w:eastAsiaTheme="minorEastAsia" w:cstheme="minorEastAsia"/>
                <w:color w:val="auto"/>
                <w:kern w:val="0"/>
                <w:sz w:val="24"/>
                <w:szCs w:val="24"/>
                <w:highlight w:val="none"/>
                <w:lang w:val="en-US" w:eastAsia="zh-CN"/>
              </w:rPr>
              <w:t>的得1</w:t>
            </w:r>
            <w:r>
              <w:rPr>
                <w:rFonts w:hint="eastAsia" w:asciiTheme="minorEastAsia" w:hAnsiTheme="minorEastAsia" w:eastAsiaTheme="minorEastAsia" w:cstheme="minorEastAsia"/>
                <w:color w:val="auto"/>
                <w:kern w:val="0"/>
                <w:sz w:val="24"/>
                <w:szCs w:val="24"/>
                <w:highlight w:val="none"/>
              </w:rPr>
              <w:t>分，无承诺</w:t>
            </w:r>
            <w:r>
              <w:rPr>
                <w:rFonts w:hint="eastAsia" w:asciiTheme="minorEastAsia" w:hAnsiTheme="minorEastAsia" w:eastAsiaTheme="minorEastAsia" w:cstheme="minorEastAsia"/>
                <w:color w:val="auto"/>
                <w:kern w:val="0"/>
                <w:sz w:val="24"/>
                <w:szCs w:val="24"/>
                <w:highlight w:val="none"/>
                <w:lang w:val="en-US" w:eastAsia="zh-CN"/>
              </w:rPr>
              <w:t>或承诺内容不符合的</w:t>
            </w:r>
            <w:r>
              <w:rPr>
                <w:rFonts w:hint="eastAsia" w:asciiTheme="minorEastAsia" w:hAnsiTheme="minorEastAsia" w:eastAsiaTheme="minorEastAsia" w:cstheme="minorEastAsia"/>
                <w:color w:val="auto"/>
                <w:kern w:val="0"/>
                <w:sz w:val="24"/>
                <w:szCs w:val="24"/>
                <w:highlight w:val="none"/>
              </w:rPr>
              <w:t>不得分，提供承诺书加盖投标人公章。</w:t>
            </w:r>
          </w:p>
        </w:tc>
      </w:tr>
      <w:tr w14:paraId="07D4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81" w:type="dxa"/>
            <w:vMerge w:val="continue"/>
            <w:tcBorders>
              <w:tl2br w:val="nil"/>
              <w:tr2bl w:val="nil"/>
            </w:tcBorders>
            <w:noWrap w:val="0"/>
            <w:vAlign w:val="center"/>
          </w:tcPr>
          <w:p w14:paraId="69AA39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vMerge w:val="continue"/>
            <w:tcBorders>
              <w:tl2br w:val="nil"/>
              <w:tr2bl w:val="nil"/>
            </w:tcBorders>
            <w:noWrap w:val="0"/>
            <w:vAlign w:val="center"/>
          </w:tcPr>
          <w:p w14:paraId="62BB9D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6612" w:type="dxa"/>
            <w:tcBorders>
              <w:tl2br w:val="nil"/>
              <w:tr2bl w:val="nil"/>
            </w:tcBorders>
            <w:noWrap w:val="0"/>
            <w:vAlign w:val="center"/>
          </w:tcPr>
          <w:p w14:paraId="0DAD3E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配送承诺（2分）</w:t>
            </w:r>
          </w:p>
          <w:p w14:paraId="18F43C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紧急用药6小时内送达2分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无承诺</w:t>
            </w:r>
            <w:r>
              <w:rPr>
                <w:rFonts w:hint="eastAsia" w:asciiTheme="minorEastAsia" w:hAnsiTheme="minorEastAsia" w:eastAsiaTheme="minorEastAsia" w:cstheme="minorEastAsia"/>
                <w:color w:val="auto"/>
                <w:kern w:val="0"/>
                <w:sz w:val="24"/>
                <w:szCs w:val="24"/>
                <w:highlight w:val="none"/>
                <w:lang w:val="en-US" w:eastAsia="zh-CN"/>
              </w:rPr>
              <w:t>或承诺内容不符合的</w:t>
            </w:r>
            <w:r>
              <w:rPr>
                <w:rFonts w:hint="eastAsia" w:asciiTheme="minorEastAsia" w:hAnsiTheme="minorEastAsia" w:eastAsiaTheme="minorEastAsia" w:cstheme="minorEastAsia"/>
                <w:color w:val="auto"/>
                <w:kern w:val="0"/>
                <w:sz w:val="24"/>
                <w:szCs w:val="24"/>
                <w:highlight w:val="none"/>
              </w:rPr>
              <w:t>不得分，提供承诺书加盖投标人公章。药品仓库</w:t>
            </w:r>
            <w:r>
              <w:rPr>
                <w:rFonts w:hint="eastAsia" w:asciiTheme="minorEastAsia" w:hAnsiTheme="minorEastAsia" w:eastAsiaTheme="minorEastAsia" w:cstheme="minorEastAsia"/>
                <w:color w:val="auto"/>
                <w:kern w:val="0"/>
                <w:sz w:val="24"/>
                <w:szCs w:val="24"/>
                <w:highlight w:val="none"/>
                <w:lang w:eastAsia="zh-CN"/>
              </w:rPr>
              <w:t>需</w:t>
            </w:r>
            <w:r>
              <w:rPr>
                <w:rFonts w:hint="eastAsia" w:asciiTheme="minorEastAsia" w:hAnsiTheme="minorEastAsia" w:eastAsiaTheme="minorEastAsia" w:cstheme="minorEastAsia"/>
                <w:color w:val="auto"/>
                <w:kern w:val="0"/>
                <w:sz w:val="24"/>
                <w:szCs w:val="24"/>
                <w:highlight w:val="none"/>
              </w:rPr>
              <w:t>提供药监部门备案证明材料复印件。</w:t>
            </w:r>
            <w:r>
              <w:rPr>
                <w:rFonts w:hint="eastAsia" w:asciiTheme="minorEastAsia" w:hAnsiTheme="minorEastAsia" w:eastAsiaTheme="minorEastAsia" w:cstheme="minorEastAsia"/>
                <w:color w:val="auto"/>
                <w:kern w:val="0"/>
                <w:sz w:val="24"/>
                <w:szCs w:val="24"/>
                <w:highlight w:val="none"/>
                <w:lang w:val="en-US" w:eastAsia="zh-CN"/>
              </w:rPr>
              <w:t>承诺是否有效以评标委员会集体判定为准。</w:t>
            </w:r>
          </w:p>
        </w:tc>
      </w:tr>
      <w:tr w14:paraId="0169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1" w:type="dxa"/>
            <w:vMerge w:val="restart"/>
            <w:tcBorders>
              <w:tl2br w:val="nil"/>
              <w:tr2bl w:val="nil"/>
            </w:tcBorders>
            <w:noWrap w:val="0"/>
            <w:vAlign w:val="center"/>
          </w:tcPr>
          <w:p w14:paraId="654084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服务计划（9分）</w:t>
            </w:r>
          </w:p>
        </w:tc>
        <w:tc>
          <w:tcPr>
            <w:tcW w:w="2026" w:type="dxa"/>
            <w:tcBorders>
              <w:tl2br w:val="nil"/>
              <w:tr2bl w:val="nil"/>
            </w:tcBorders>
            <w:noWrap w:val="0"/>
            <w:vAlign w:val="center"/>
          </w:tcPr>
          <w:p w14:paraId="3DEC67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服务方案（4分）</w:t>
            </w:r>
          </w:p>
        </w:tc>
        <w:tc>
          <w:tcPr>
            <w:tcW w:w="6612" w:type="dxa"/>
            <w:tcBorders>
              <w:tl2br w:val="nil"/>
              <w:tr2bl w:val="nil"/>
            </w:tcBorders>
            <w:noWrap w:val="0"/>
            <w:vAlign w:val="center"/>
          </w:tcPr>
          <w:p w14:paraId="55A33D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zh-CN"/>
              </w:rPr>
              <w:t>根据投标人</w:t>
            </w:r>
            <w:r>
              <w:rPr>
                <w:rFonts w:hint="eastAsia" w:asciiTheme="minorEastAsia" w:hAnsiTheme="minorEastAsia" w:eastAsiaTheme="minorEastAsia" w:cstheme="minorEastAsia"/>
                <w:color w:val="auto"/>
                <w:kern w:val="0"/>
                <w:sz w:val="24"/>
                <w:szCs w:val="24"/>
                <w:highlight w:val="none"/>
                <w:lang w:val="en-US" w:eastAsia="zh-CN"/>
              </w:rPr>
              <w:t>针对本项目制定的服务制度及方案</w:t>
            </w:r>
            <w:r>
              <w:rPr>
                <w:rFonts w:hint="eastAsia" w:asciiTheme="minorEastAsia" w:hAnsiTheme="minorEastAsia" w:eastAsiaTheme="minorEastAsia" w:cstheme="minorEastAsia"/>
                <w:color w:val="auto"/>
                <w:kern w:val="0"/>
                <w:sz w:val="24"/>
                <w:szCs w:val="24"/>
                <w:highlight w:val="none"/>
                <w:lang w:val="zh-CN"/>
              </w:rPr>
              <w:t>由评委自行判定打分。</w:t>
            </w:r>
          </w:p>
        </w:tc>
      </w:tr>
      <w:tr w14:paraId="616B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1" w:type="dxa"/>
            <w:vMerge w:val="continue"/>
            <w:tcBorders>
              <w:tl2br w:val="nil"/>
              <w:tr2bl w:val="nil"/>
            </w:tcBorders>
            <w:noWrap w:val="0"/>
            <w:vAlign w:val="center"/>
          </w:tcPr>
          <w:p w14:paraId="50BDE1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66E1C3B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人员管理（3分）</w:t>
            </w:r>
          </w:p>
        </w:tc>
        <w:tc>
          <w:tcPr>
            <w:tcW w:w="6612" w:type="dxa"/>
            <w:tcBorders>
              <w:tl2br w:val="nil"/>
              <w:tr2bl w:val="nil"/>
            </w:tcBorders>
            <w:noWrap w:val="0"/>
            <w:vAlign w:val="center"/>
          </w:tcPr>
          <w:p w14:paraId="432513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根据投标人针对本项目人员内部管理制度及服务质量考核标准等方案由评委自行判定打分。</w:t>
            </w:r>
          </w:p>
        </w:tc>
      </w:tr>
      <w:tr w14:paraId="1827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81" w:type="dxa"/>
            <w:vMerge w:val="continue"/>
            <w:tcBorders>
              <w:tl2br w:val="nil"/>
              <w:tr2bl w:val="nil"/>
            </w:tcBorders>
            <w:noWrap w:val="0"/>
            <w:vAlign w:val="center"/>
          </w:tcPr>
          <w:p w14:paraId="5CED36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026" w:type="dxa"/>
            <w:tcBorders>
              <w:tl2br w:val="nil"/>
              <w:tr2bl w:val="nil"/>
            </w:tcBorders>
            <w:noWrap w:val="0"/>
            <w:vAlign w:val="center"/>
          </w:tcPr>
          <w:p w14:paraId="5AC7BA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设备情况（2分）</w:t>
            </w:r>
          </w:p>
        </w:tc>
        <w:tc>
          <w:tcPr>
            <w:tcW w:w="6612" w:type="dxa"/>
            <w:tcBorders>
              <w:tl2br w:val="nil"/>
              <w:tr2bl w:val="nil"/>
            </w:tcBorders>
            <w:noWrap w:val="0"/>
            <w:vAlign w:val="center"/>
          </w:tcPr>
          <w:p w14:paraId="404E64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根据投标人拟投入本项目实施的设施设备情况由评委自行判定打分。</w:t>
            </w:r>
          </w:p>
        </w:tc>
      </w:tr>
    </w:tbl>
    <w:p w14:paraId="6789B914">
      <w:pPr>
        <w:pStyle w:val="13"/>
        <w:numPr>
          <w:ilvl w:val="0"/>
          <w:numId w:val="0"/>
        </w:numPr>
        <w:spacing w:line="460" w:lineRule="exact"/>
        <w:ind w:firstLine="484"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2"/>
          <w:sz w:val="24"/>
          <w:szCs w:val="24"/>
          <w:highlight w:val="none"/>
          <w:lang w:val="en-US" w:eastAsia="zh-CN" w:bidi="ar-SA"/>
        </w:rPr>
        <w:t>2.</w:t>
      </w:r>
      <w:r>
        <w:rPr>
          <w:rFonts w:hint="eastAsia" w:asciiTheme="minorEastAsia" w:hAnsiTheme="minorEastAsia" w:eastAsiaTheme="minorEastAsia" w:cstheme="minorEastAsia"/>
          <w:b/>
          <w:bCs/>
          <w:sz w:val="24"/>
          <w:szCs w:val="24"/>
          <w:highlight w:val="none"/>
          <w:lang w:eastAsia="zh-CN"/>
        </w:rPr>
        <w:t>报价响应文件</w:t>
      </w:r>
      <w:r>
        <w:rPr>
          <w:rFonts w:hint="eastAsia" w:asciiTheme="minorEastAsia" w:hAnsiTheme="minorEastAsia" w:eastAsiaTheme="minorEastAsia" w:cstheme="minorEastAsia"/>
          <w:b/>
          <w:bCs/>
          <w:sz w:val="24"/>
          <w:szCs w:val="24"/>
          <w:highlight w:val="none"/>
        </w:rPr>
        <w:t>评审</w:t>
      </w:r>
    </w:p>
    <w:p w14:paraId="4FF49FCD">
      <w:pPr>
        <w:pStyle w:val="13"/>
        <w:numPr>
          <w:ilvl w:val="0"/>
          <w:numId w:val="0"/>
        </w:numPr>
        <w:spacing w:line="460" w:lineRule="exact"/>
        <w:ind w:firstLine="484"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szCs w:val="24"/>
          <w:highlight w:val="none"/>
        </w:rPr>
        <w:t>2.1</w:t>
      </w:r>
      <w:r>
        <w:rPr>
          <w:rFonts w:hint="eastAsia" w:asciiTheme="minorEastAsia" w:hAnsiTheme="minorEastAsia" w:eastAsiaTheme="minorEastAsia" w:cstheme="minorEastAsia"/>
          <w:b/>
          <w:color w:val="auto"/>
          <w:sz w:val="24"/>
          <w:highlight w:val="none"/>
        </w:rPr>
        <w:t>甄别异常报价：有下列情况之一的投标报价不进入报价分计算环节：</w:t>
      </w:r>
    </w:p>
    <w:p w14:paraId="4505CB48">
      <w:pPr>
        <w:adjustRightInd w:val="0"/>
        <w:snapToGrid w:val="0"/>
        <w:spacing w:line="460" w:lineRule="exact"/>
        <w:ind w:firstLine="478" w:firstLineChars="1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①商务技术响应文件无效单位的投标报价；</w:t>
      </w:r>
    </w:p>
    <w:p w14:paraId="6FF7F9C0">
      <w:pPr>
        <w:adjustRightInd w:val="0"/>
        <w:snapToGrid w:val="0"/>
        <w:spacing w:line="460" w:lineRule="exact"/>
        <w:ind w:firstLine="478" w:firstLineChars="198"/>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②报价高于预算价；</w:t>
      </w:r>
    </w:p>
    <w:p w14:paraId="4355B876">
      <w:pPr>
        <w:adjustRightInd w:val="0"/>
        <w:snapToGrid w:val="0"/>
        <w:spacing w:line="460" w:lineRule="exact"/>
        <w:ind w:firstLine="484"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③投标报价高于最高限价；</w:t>
      </w:r>
    </w:p>
    <w:p w14:paraId="4CDAE4AD">
      <w:pPr>
        <w:adjustRightInd w:val="0"/>
        <w:snapToGrid w:val="0"/>
        <w:spacing w:line="460" w:lineRule="exact"/>
        <w:ind w:firstLine="484"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④分析总报价及各个分项报价是否合理、报价范围是否完整、有否重大错漏项、是否超过最高限价。如评标委员会认为投标人的报价明显低于其他通过符合性审</w:t>
      </w:r>
      <w:r>
        <w:rPr>
          <w:rFonts w:hint="eastAsia" w:asciiTheme="minorEastAsia" w:hAnsiTheme="minorEastAsia" w:eastAsiaTheme="minorEastAsia" w:cstheme="minorEastAsia"/>
          <w:color w:val="auto"/>
          <w:sz w:val="24"/>
          <w:highlight w:val="none"/>
          <w:lang w:eastAsia="zh-CN"/>
        </w:rPr>
        <w:t>查的</w:t>
      </w:r>
      <w:r>
        <w:rPr>
          <w:rFonts w:hint="eastAsia" w:asciiTheme="minorEastAsia" w:hAnsiTheme="minorEastAsia" w:eastAsiaTheme="minorEastAsia" w:cstheme="minorEastAsia"/>
          <w:color w:val="auto"/>
          <w:sz w:val="24"/>
          <w:highlight w:val="none"/>
        </w:rPr>
        <w:t>投标人的报价，有可能影响产品质量或者不能诚信履约的，应当要求其在评标现场合理的时间内提供书面说明，必要时提交相关佐证材料；投标人不能证明其报价合理性的，评标委员会应当将其作为无效投标处理。</w:t>
      </w:r>
    </w:p>
    <w:p w14:paraId="34B47989">
      <w:pPr>
        <w:pageBreakBefore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w:t>
      </w:r>
      <w:r>
        <w:rPr>
          <w:rFonts w:hint="eastAsia" w:asciiTheme="minorEastAsia" w:hAnsiTheme="minorEastAsia" w:eastAsiaTheme="minorEastAsia" w:cstheme="minorEastAsia"/>
          <w:b/>
          <w:color w:val="auto"/>
          <w:sz w:val="24"/>
          <w:szCs w:val="24"/>
          <w:highlight w:val="none"/>
          <w:lang w:eastAsia="zh-CN"/>
        </w:rPr>
        <w:t>报价响应文件</w:t>
      </w:r>
      <w:r>
        <w:rPr>
          <w:rFonts w:hint="eastAsia" w:asciiTheme="minorEastAsia" w:hAnsiTheme="minorEastAsia" w:eastAsiaTheme="minorEastAsia" w:cstheme="minorEastAsia"/>
          <w:b/>
          <w:color w:val="auto"/>
          <w:sz w:val="24"/>
          <w:szCs w:val="24"/>
          <w:highlight w:val="none"/>
        </w:rPr>
        <w:t>详细评审（</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u w:val="single"/>
        </w:rPr>
        <w:t>0</w:t>
      </w:r>
      <w:r>
        <w:rPr>
          <w:rFonts w:hint="eastAsia" w:asciiTheme="minorEastAsia" w:hAnsiTheme="minorEastAsia" w:eastAsiaTheme="minorEastAsia" w:cstheme="minorEastAsia"/>
          <w:b/>
          <w:color w:val="auto"/>
          <w:sz w:val="24"/>
          <w:szCs w:val="24"/>
          <w:highlight w:val="none"/>
        </w:rPr>
        <w:t>分）</w:t>
      </w:r>
    </w:p>
    <w:p w14:paraId="394DFC95">
      <w:pPr>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（1）评标基准价以满足招标文件要求且投标</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最低的投标报价为评标基准价，其报价分为</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0分。</w:t>
      </w:r>
    </w:p>
    <w:p w14:paraId="5DE5DD65">
      <w:pPr>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（2）报价得分计算。</w:t>
      </w:r>
    </w:p>
    <w:p w14:paraId="0742E546">
      <w:pPr>
        <w:pageBreakBefore w:val="0"/>
        <w:widowControl/>
        <w:kinsoku/>
        <w:wordWrap/>
        <w:overflowPunct/>
        <w:topLinePunct w:val="0"/>
        <w:autoSpaceDE/>
        <w:autoSpaceDN/>
        <w:bidi w:val="0"/>
        <w:adjustRightInd/>
        <w:snapToGrid/>
        <w:spacing w:line="360" w:lineRule="auto"/>
        <w:ind w:left="0" w:leftChars="0" w:firstLine="484"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szCs w:val="24"/>
          <w:highlight w:val="none"/>
        </w:rPr>
        <w:t>报价得分=（评标基准价/投标报价）×</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0%×100，保留小数2位</w:t>
      </w:r>
    </w:p>
    <w:p w14:paraId="0F3073A4">
      <w:pPr>
        <w:pageBreakBefore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val="en-US" w:eastAsia="zh-CN"/>
        </w:rPr>
        <w:t>.</w:t>
      </w:r>
      <w:r>
        <w:rPr>
          <w:rFonts w:hint="eastAsia" w:asciiTheme="minorEastAsia" w:hAnsiTheme="minorEastAsia" w:eastAsiaTheme="minorEastAsia" w:cstheme="minorEastAsia"/>
          <w:b/>
          <w:color w:val="auto"/>
          <w:sz w:val="24"/>
          <w:highlight w:val="none"/>
        </w:rPr>
        <w:t>计算总分（满分为100分）</w:t>
      </w:r>
    </w:p>
    <w:p w14:paraId="0D96F89B">
      <w:pPr>
        <w:pStyle w:val="13"/>
        <w:pageBreakBefore w:val="0"/>
        <w:kinsoku/>
        <w:wordWrap/>
        <w:overflowPunct/>
        <w:topLinePunct w:val="0"/>
        <w:autoSpaceDE/>
        <w:autoSpaceDN/>
        <w:bidi w:val="0"/>
        <w:adjustRightInd/>
        <w:snapToGrid/>
        <w:spacing w:line="360" w:lineRule="auto"/>
        <w:ind w:left="0" w:leftChars="0" w:firstLine="484"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 xml:space="preserve">计算方法：投标人总得分 = 商务技术标得分+ </w:t>
      </w:r>
      <w:r>
        <w:rPr>
          <w:rFonts w:hint="eastAsia" w:asciiTheme="minorEastAsia" w:hAnsiTheme="minorEastAsia" w:eastAsiaTheme="minorEastAsia" w:cstheme="minorEastAsia"/>
          <w:color w:val="auto"/>
          <w:sz w:val="24"/>
          <w:highlight w:val="none"/>
        </w:rPr>
        <w:t>报价</w:t>
      </w:r>
      <w:r>
        <w:rPr>
          <w:rFonts w:hint="eastAsia" w:asciiTheme="minorEastAsia" w:hAnsiTheme="minorEastAsia" w:eastAsiaTheme="minorEastAsia" w:cstheme="minorEastAsia"/>
          <w:color w:val="auto"/>
          <w:sz w:val="24"/>
          <w:szCs w:val="24"/>
          <w:highlight w:val="none"/>
        </w:rPr>
        <w:t>得分</w:t>
      </w:r>
    </w:p>
    <w:p w14:paraId="7CB991E6">
      <w:pPr>
        <w:pStyle w:val="81"/>
        <w:pageBreakBefore w:val="0"/>
        <w:kinsoku/>
        <w:wordWrap/>
        <w:overflowPunct/>
        <w:topLinePunct w:val="0"/>
        <w:autoSpaceDE/>
        <w:autoSpaceDN/>
        <w:bidi w:val="0"/>
        <w:adjustRightInd/>
        <w:snapToGrid/>
        <w:spacing w:before="0" w:after="0" w:line="360" w:lineRule="auto"/>
        <w:ind w:left="0" w:leftChars="0" w:firstLine="484" w:firstLineChars="200"/>
        <w:textAlignment w:val="auto"/>
        <w:outlineLvl w:val="9"/>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w:t>
      </w:r>
      <w:r>
        <w:rPr>
          <w:rFonts w:hint="eastAsia" w:asciiTheme="minorEastAsia" w:hAnsiTheme="minorEastAsia" w:eastAsiaTheme="minorEastAsia" w:cstheme="minorEastAsia"/>
          <w:color w:val="auto"/>
          <w:szCs w:val="24"/>
          <w:highlight w:val="none"/>
          <w:lang w:val="en-US" w:eastAsia="zh-CN"/>
        </w:rPr>
        <w:t>.</w:t>
      </w:r>
      <w:r>
        <w:rPr>
          <w:rFonts w:hint="eastAsia" w:asciiTheme="minorEastAsia" w:hAnsiTheme="minorEastAsia" w:eastAsiaTheme="minorEastAsia" w:cstheme="minorEastAsia"/>
          <w:color w:val="auto"/>
          <w:szCs w:val="24"/>
          <w:highlight w:val="none"/>
        </w:rPr>
        <w:t>确定中标人，完成评标报告</w:t>
      </w:r>
    </w:p>
    <w:p w14:paraId="7EAD98E5">
      <w:pPr>
        <w:adjustRightInd w:val="0"/>
        <w:snapToGrid w:val="0"/>
        <w:spacing w:line="360" w:lineRule="auto"/>
        <w:ind w:firstLine="484"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（1）确定中标人</w:t>
      </w:r>
    </w:p>
    <w:p w14:paraId="08C3DA19">
      <w:pPr>
        <w:snapToGrid w:val="0"/>
        <w:spacing w:line="360" w:lineRule="auto"/>
        <w:ind w:firstLine="484"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完成评标后，按总得分由高到低排定顺序（总得分相同的，按投标报价由低到高顺序排列；总得分且投标报价相同的，按商务技术分由高到低顺序排列，商务技术分也相同的，按采购人抽签决定排序），评标委员会根据以上排序直接确定第一名的投标单位为中标人。</w:t>
      </w:r>
    </w:p>
    <w:p w14:paraId="5F817C8D">
      <w:pPr>
        <w:spacing w:line="360" w:lineRule="auto"/>
        <w:ind w:firstLine="484"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当确定的中标人放弃中标，因不可抗力提出不能履行合同，在此情况下，采购人可重新组织招投标。</w:t>
      </w:r>
    </w:p>
    <w:p w14:paraId="14EAF61A">
      <w:pPr>
        <w:spacing w:line="360" w:lineRule="auto"/>
        <w:ind w:firstLine="484"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（2）完成评标报告</w:t>
      </w:r>
    </w:p>
    <w:p w14:paraId="74D70797">
      <w:pPr>
        <w:adjustRightInd w:val="0"/>
        <w:snapToGrid w:val="0"/>
        <w:spacing w:line="360" w:lineRule="auto"/>
        <w:ind w:firstLine="484"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评标委员会向采购人提出评标报告，内容包括评标过程、投标人的优劣对比分析、中标人确定情况、基本结论、存在的问题和评标专家的不同意见。评标报告应经评标委员会所有专家签字，在评标结束</w:t>
      </w:r>
      <w:r>
        <w:rPr>
          <w:rFonts w:hint="eastAsia" w:asciiTheme="minorEastAsia" w:hAnsiTheme="minorEastAsia" w:eastAsiaTheme="minorEastAsia" w:cstheme="minorEastAsia"/>
          <w:color w:val="auto"/>
          <w:sz w:val="24"/>
          <w:highlight w:val="none"/>
          <w:lang w:eastAsia="zh-CN"/>
        </w:rPr>
        <w:t>后</w:t>
      </w:r>
      <w:r>
        <w:rPr>
          <w:rFonts w:hint="eastAsia" w:asciiTheme="minorEastAsia" w:hAnsiTheme="minorEastAsia" w:eastAsiaTheme="minorEastAsia" w:cstheme="minorEastAsia"/>
          <w:color w:val="auto"/>
          <w:sz w:val="24"/>
          <w:highlight w:val="none"/>
        </w:rPr>
        <w:t>提交给采购人。</w:t>
      </w:r>
    </w:p>
    <w:p w14:paraId="6E0E128A">
      <w:pPr>
        <w:pStyle w:val="2"/>
        <w:spacing w:before="0" w:after="0" w:line="240" w:lineRule="auto"/>
        <w:rPr>
          <w:rFonts w:hint="eastAsia" w:asciiTheme="minorEastAsia" w:hAnsiTheme="minorEastAsia" w:eastAsiaTheme="minorEastAsia" w:cstheme="minorEastAsia"/>
          <w:color w:val="auto"/>
          <w:sz w:val="36"/>
          <w:szCs w:val="36"/>
          <w:highlight w:val="none"/>
        </w:rPr>
        <w:sectPr>
          <w:pgSz w:w="11906" w:h="16838"/>
          <w:pgMar w:top="1134" w:right="1134" w:bottom="1134" w:left="1417" w:header="851" w:footer="850" w:gutter="0"/>
          <w:cols w:space="0" w:num="1"/>
          <w:docGrid w:type="linesAndChars" w:linePitch="322" w:charSpace="535"/>
        </w:sectPr>
      </w:pPr>
    </w:p>
    <w:p w14:paraId="44E907A4">
      <w:pPr>
        <w:pStyle w:val="2"/>
        <w:spacing w:before="0" w:after="0" w:line="240" w:lineRule="auto"/>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第七章合同主要条款</w:t>
      </w:r>
      <w:bookmarkEnd w:id="38"/>
      <w:bookmarkEnd w:id="39"/>
      <w:bookmarkEnd w:id="40"/>
      <w:bookmarkEnd w:id="41"/>
    </w:p>
    <w:p w14:paraId="453BD131">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甲方：</w:t>
      </w:r>
      <w:r>
        <w:rPr>
          <w:rFonts w:hint="eastAsia" w:asciiTheme="minorEastAsia" w:hAnsiTheme="minorEastAsia" w:eastAsiaTheme="minorEastAsia" w:cstheme="minorEastAsia"/>
          <w:color w:val="auto"/>
          <w:kern w:val="0"/>
          <w:sz w:val="24"/>
          <w:highlight w:val="none"/>
          <w:lang w:eastAsia="zh-CN"/>
        </w:rPr>
        <w:t>义乌市苏溪镇中心卫生院</w:t>
      </w:r>
    </w:p>
    <w:p w14:paraId="362DFBDB">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乙方：</w:t>
      </w:r>
    </w:p>
    <w:p w14:paraId="73E34D7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根据《中华人民共和国</w:t>
      </w:r>
      <w:r>
        <w:rPr>
          <w:rFonts w:hint="eastAsia" w:asciiTheme="minorEastAsia" w:hAnsiTheme="minorEastAsia" w:eastAsiaTheme="minorEastAsia" w:cstheme="minorEastAsia"/>
          <w:color w:val="auto"/>
          <w:kern w:val="0"/>
          <w:sz w:val="24"/>
          <w:szCs w:val="24"/>
          <w:highlight w:val="none"/>
          <w:lang w:eastAsia="zh-CN"/>
        </w:rPr>
        <w:t>民法典</w:t>
      </w:r>
      <w:r>
        <w:rPr>
          <w:rFonts w:hint="eastAsia" w:asciiTheme="minorEastAsia" w:hAnsiTheme="minorEastAsia" w:eastAsiaTheme="minorEastAsia" w:cstheme="minorEastAsia"/>
          <w:color w:val="auto"/>
          <w:kern w:val="0"/>
          <w:sz w:val="24"/>
          <w:szCs w:val="24"/>
          <w:highlight w:val="none"/>
        </w:rPr>
        <w:t>》及有关法律法规的规定，双方本着平等互利、诚实守信的原则签订本合同。</w:t>
      </w:r>
    </w:p>
    <w:p w14:paraId="795D76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一、合同文件组成：</w:t>
      </w:r>
      <w:r>
        <w:rPr>
          <w:rFonts w:hint="eastAsia" w:asciiTheme="minorEastAsia" w:hAnsiTheme="minorEastAsia" w:eastAsiaTheme="minorEastAsia" w:cstheme="minorEastAsia"/>
          <w:color w:val="auto"/>
          <w:kern w:val="0"/>
          <w:sz w:val="24"/>
          <w:szCs w:val="24"/>
          <w:highlight w:val="none"/>
          <w:lang w:eastAsia="zh-CN"/>
        </w:rPr>
        <w:t>采购文件</w:t>
      </w:r>
      <w:r>
        <w:rPr>
          <w:rFonts w:hint="eastAsia" w:asciiTheme="minorEastAsia" w:hAnsiTheme="minorEastAsia" w:eastAsiaTheme="minorEastAsia" w:cstheme="minorEastAsia"/>
          <w:color w:val="auto"/>
          <w:kern w:val="0"/>
          <w:sz w:val="24"/>
          <w:szCs w:val="24"/>
          <w:highlight w:val="none"/>
        </w:rPr>
        <w:t>及其补充文件、投标承诺、询疑答复、投标</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文件、双方来函。合同文件组成的所有内容是构成合同不可分割的部分，与合同具有同等法律效力。</w:t>
      </w:r>
    </w:p>
    <w:p w14:paraId="4A2A30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sz w:val="24"/>
          <w:szCs w:val="24"/>
          <w:highlight w:val="none"/>
          <w:lang w:val="en-US" w:eastAsia="zh-CN"/>
        </w:rPr>
        <w:t>二、服务期限：</w:t>
      </w:r>
      <w:r>
        <w:rPr>
          <w:rFonts w:hint="eastAsia" w:asciiTheme="minorEastAsia" w:hAnsiTheme="minorEastAsia" w:eastAsiaTheme="minorEastAsia" w:cstheme="minorEastAsia"/>
          <w:color w:val="auto"/>
          <w:sz w:val="24"/>
          <w:highlight w:val="none"/>
          <w:lang w:eastAsia="zh-CN"/>
        </w:rPr>
        <w:t>两年，</w:t>
      </w:r>
      <w:r>
        <w:rPr>
          <w:rFonts w:hint="eastAsia" w:asciiTheme="minorEastAsia" w:hAnsiTheme="minorEastAsia" w:eastAsiaTheme="minorEastAsia" w:cstheme="minorEastAsia"/>
          <w:color w:val="auto"/>
          <w:sz w:val="24"/>
          <w:highlight w:val="none"/>
        </w:rPr>
        <w:t>本合同自     年    月   日起至     年   月   日止。若合同执行中途遇中药配方颗粒政策调整，双方根据新政策进行协商并变更合同内容，合同期限可以按照原</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执行。如在规定期限内不能满足上级部门政策要求，双方协商终止合同</w:t>
      </w:r>
      <w:r>
        <w:rPr>
          <w:rFonts w:hint="eastAsia" w:asciiTheme="minorEastAsia" w:hAnsiTheme="minorEastAsia" w:eastAsiaTheme="minorEastAsia" w:cstheme="minorEastAsia"/>
          <w:color w:val="auto"/>
          <w:sz w:val="24"/>
          <w:highlight w:val="none"/>
          <w:lang w:eastAsia="zh-CN"/>
        </w:rPr>
        <w:t>。</w:t>
      </w:r>
    </w:p>
    <w:p w14:paraId="78EDC03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三、服务内容</w:t>
      </w:r>
    </w:p>
    <w:p w14:paraId="7D9BDB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义乌市苏溪镇中心卫生院中药配方颗粒及相关伴随服务采购，乙方提供符合国标或省标中药配方颗粒及相关伴随服务。</w:t>
      </w:r>
    </w:p>
    <w:p w14:paraId="2034FF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四、结算与付款方式</w:t>
      </w:r>
    </w:p>
    <w:p w14:paraId="6DA944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浙江省中药饮片产业协会最新发布的杭州市中药配方颗粒建议零售价</w:t>
      </w:r>
      <w:r>
        <w:rPr>
          <w:rFonts w:hint="eastAsia" w:asciiTheme="minorEastAsia" w:hAnsiTheme="minorEastAsia" w:eastAsiaTheme="minorEastAsia" w:cstheme="minorEastAsia"/>
          <w:sz w:val="24"/>
          <w:szCs w:val="24"/>
          <w:highlight w:val="none"/>
          <w:lang w:val="en-US" w:eastAsia="zh-CN"/>
        </w:rPr>
        <w:t xml:space="preserve">的百分之 </w:t>
      </w:r>
      <w:r>
        <w:rPr>
          <w:rFonts w:hint="eastAsia" w:asciiTheme="minorEastAsia" w:hAnsiTheme="minorEastAsia" w:eastAsiaTheme="minorEastAsia" w:cstheme="minorEastAsia"/>
          <w:sz w:val="24"/>
          <w:szCs w:val="24"/>
          <w:highlight w:val="none"/>
          <w:u w:val="single"/>
          <w:lang w:val="en-US" w:eastAsia="zh-CN"/>
        </w:rPr>
        <w:t xml:space="preserve">     （中标结算率</w:t>
      </w:r>
      <w:r>
        <w:rPr>
          <w:rFonts w:hint="eastAsia" w:asciiTheme="minorEastAsia" w:hAnsiTheme="minorEastAsia" w:eastAsiaTheme="minorEastAsia" w:cstheme="minorEastAsia"/>
          <w:sz w:val="24"/>
          <w:szCs w:val="24"/>
          <w:highlight w:val="none"/>
          <w:lang w:val="en-US" w:eastAsia="zh-CN"/>
        </w:rPr>
        <w:t>）进行结算</w:t>
      </w:r>
      <w:r>
        <w:rPr>
          <w:rFonts w:hint="eastAsia" w:asciiTheme="minorEastAsia" w:hAnsiTheme="minorEastAsia" w:eastAsiaTheme="minorEastAsia" w:cstheme="minorEastAsia"/>
          <w:sz w:val="24"/>
          <w:szCs w:val="24"/>
          <w:highlight w:val="none"/>
        </w:rPr>
        <w:t>。</w:t>
      </w:r>
    </w:p>
    <w:p w14:paraId="0D85198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2.在合同期内浙江省中药饮片产业协会发布的杭州市中药配方颗粒建议零售价格如有调整，结算率不变，结算价随之调整。</w:t>
      </w:r>
    </w:p>
    <w:p w14:paraId="5AE53A8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中药配方颗粒政策调整：在合同期内中药配方颗粒遇国家相关政策调整，如平台挂网采购及医保政策变化等，按调整政策执行。也可就相关事宜进行协商，并签订补充协议；若协商不成的，甲方有权单方解除合同，重新组织招标。</w:t>
      </w:r>
    </w:p>
    <w:p w14:paraId="0E0AD20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4.结算：乙方结算价=中药配方颗粒零售价（含税）×结算率。</w:t>
      </w:r>
    </w:p>
    <w:p w14:paraId="05061ED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5.付款方式：</w:t>
      </w:r>
      <w:r>
        <w:rPr>
          <w:rFonts w:hint="eastAsia" w:asciiTheme="minorEastAsia" w:hAnsiTheme="minorEastAsia" w:eastAsiaTheme="minorEastAsia" w:cstheme="minorEastAsia"/>
          <w:sz w:val="24"/>
          <w:szCs w:val="24"/>
          <w:highlight w:val="none"/>
        </w:rPr>
        <w:t>分批供货，</w:t>
      </w:r>
      <w:r>
        <w:rPr>
          <w:rFonts w:hint="eastAsia" w:asciiTheme="minorEastAsia" w:hAnsiTheme="minorEastAsia" w:eastAsiaTheme="minorEastAsia" w:cstheme="minorEastAsia"/>
          <w:sz w:val="24"/>
          <w:szCs w:val="24"/>
          <w:highlight w:val="none"/>
          <w:lang w:val="en-US" w:eastAsia="zh-CN"/>
        </w:rPr>
        <w:t>按月结算</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到货</w:t>
      </w:r>
      <w:r>
        <w:rPr>
          <w:rFonts w:hint="eastAsia" w:asciiTheme="minorEastAsia" w:hAnsiTheme="minorEastAsia" w:eastAsiaTheme="minorEastAsia" w:cstheme="minorEastAsia"/>
          <w:sz w:val="24"/>
          <w:szCs w:val="24"/>
          <w:highlight w:val="none"/>
        </w:rPr>
        <w:t>验收合格后</w:t>
      </w: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sz w:val="24"/>
          <w:szCs w:val="24"/>
          <w:highlight w:val="none"/>
        </w:rPr>
        <w:t>凭发票、清单、验收单</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个月内</w:t>
      </w:r>
      <w:r>
        <w:rPr>
          <w:rFonts w:hint="eastAsia" w:asciiTheme="minorEastAsia" w:hAnsiTheme="minorEastAsia" w:eastAsiaTheme="minorEastAsia" w:cstheme="minorEastAsia"/>
          <w:sz w:val="24"/>
          <w:szCs w:val="24"/>
          <w:highlight w:val="none"/>
          <w:lang w:val="en-US" w:eastAsia="zh-CN"/>
        </w:rPr>
        <w:t>由甲方</w:t>
      </w:r>
      <w:r>
        <w:rPr>
          <w:rFonts w:hint="eastAsia" w:asciiTheme="minorEastAsia" w:hAnsiTheme="minorEastAsia" w:eastAsiaTheme="minorEastAsia" w:cstheme="minorEastAsia"/>
          <w:sz w:val="24"/>
          <w:szCs w:val="24"/>
          <w:highlight w:val="none"/>
        </w:rPr>
        <w:t>支付。</w:t>
      </w:r>
    </w:p>
    <w:p w14:paraId="43AB452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iCs/>
          <w:kern w:val="2"/>
          <w:sz w:val="24"/>
          <w:szCs w:val="24"/>
          <w:highlight w:val="none"/>
          <w:lang w:val="en-US" w:eastAsia="zh-CN" w:bidi="ar-SA"/>
        </w:rPr>
      </w:pPr>
      <w:r>
        <w:rPr>
          <w:rFonts w:hint="eastAsia" w:asciiTheme="minorEastAsia" w:hAnsiTheme="minorEastAsia" w:eastAsiaTheme="minorEastAsia" w:cstheme="minorEastAsia"/>
          <w:b/>
          <w:iCs/>
          <w:kern w:val="2"/>
          <w:sz w:val="24"/>
          <w:szCs w:val="24"/>
          <w:highlight w:val="none"/>
          <w:lang w:val="en-US" w:eastAsia="zh-CN" w:bidi="ar-SA"/>
        </w:rPr>
        <w:t>五、供货及服务要求</w:t>
      </w:r>
    </w:p>
    <w:p w14:paraId="37F8EAE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1.乙方供应的中药配方颗粒质量须符合中药配方颗粒国家标准或浙江省标准且通过备案。上市备案的中药配方颗粒品种获得上市备案号，跨省销售备案的中药配方颗粒品种获得跨省销售备案号。</w:t>
      </w:r>
    </w:p>
    <w:p w14:paraId="1087900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2.根据甲方的要求，乙方应及时提供配方颗粒并按时送到指定地点，保证送货的及时性。一般要求48小时内配送到位，紧急用药4小时内送达。配送或快递等相关服务费用由乙方负责。 </w:t>
      </w:r>
    </w:p>
    <w:p w14:paraId="4DD8522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3.乙方</w:t>
      </w:r>
      <w:r>
        <w:rPr>
          <w:rFonts w:hint="eastAsia" w:asciiTheme="minorEastAsia" w:hAnsiTheme="minorEastAsia" w:eastAsiaTheme="minorEastAsia" w:cstheme="minorEastAsia"/>
          <w:sz w:val="24"/>
          <w:szCs w:val="24"/>
          <w:highlight w:val="none"/>
          <w:lang w:eastAsia="zh-CN"/>
        </w:rPr>
        <w:t>提供中药配方颗粒品种数能满足日常的临床诊疗需要，不得以任何借口（如无货，采购量少等）不执行医院药品采购计划。</w:t>
      </w:r>
    </w:p>
    <w:p w14:paraId="30489BF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4.乙方</w:t>
      </w:r>
      <w:r>
        <w:rPr>
          <w:rFonts w:hint="eastAsia" w:asciiTheme="minorEastAsia" w:hAnsiTheme="minorEastAsia" w:eastAsiaTheme="minorEastAsia" w:cstheme="minorEastAsia"/>
          <w:sz w:val="24"/>
          <w:szCs w:val="24"/>
          <w:highlight w:val="none"/>
          <w:lang w:eastAsia="zh-CN"/>
        </w:rPr>
        <w:t>在保证药品质量、执行国家物价的前提下按约定的药品品种、剂型、规格、数量、价格、供货方式等供货，保证临床用药不断档。</w:t>
      </w:r>
    </w:p>
    <w:p w14:paraId="2F52FCE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5.供货时，乙方必须提供每批次配方颗粒的质量检测报告，且报告单与实物批号完全对应。</w:t>
      </w:r>
    </w:p>
    <w:p w14:paraId="2DAE5C8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6.中药配方颗粒的有效期应符合医院药品入库验收标准，保证入库后剩余有效期不少于12个月（特殊药品除外）。</w:t>
      </w:r>
    </w:p>
    <w:p w14:paraId="5E62414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7.中药配方颗粒送达医院时，在产品外包装标签上必须标示有品名、规格、产地、生产企业、产品批号、生产日期、执行标准并附质量合格标志。</w:t>
      </w:r>
    </w:p>
    <w:p w14:paraId="0025202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甲方对中药配方颗粒的产地、质量、包装、有效期等信息进行核对无误后进行入库验收。若验收不合格，乙方必须更换货物，并且赔偿由此给医院造成的损失；入库记录为入库验收的唯一有效凭证，入库验收时间以入库记录时间为准。</w:t>
      </w:r>
    </w:p>
    <w:p w14:paraId="57CFD92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9.如有配方颗粒质量问题，乙方应免费退、换相应的货物，并承担由于产品质量问题而引发的全部费用。</w:t>
      </w:r>
    </w:p>
    <w:p w14:paraId="394E8FB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10.中药配方颗粒所使用的设备、包装材料等须符合行业标准，保证中药配方颗粒质量。</w:t>
      </w:r>
    </w:p>
    <w:p w14:paraId="059FB40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11.合同期内提供最先进的配方颗粒终端分包装服务，调配机应满足国标或省标质量配方颗粒调配需求和正常业务需求。调配机应接入医院的HIS系统，接口费用由乙方承担。</w:t>
      </w:r>
    </w:p>
    <w:p w14:paraId="623C495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12.中药配方颗粒调剂应符合智慧药房需求，提供中药配方颗粒处方审核系统。</w:t>
      </w:r>
    </w:p>
    <w:p w14:paraId="2A6FC93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医院根据项目需要，提供智能调配设备安放的场地，由乙方负责场地的设计、装修，按照中药配方颗粒调配机的使用要求，确保符合相应的温湿度环境要求。合同期内，由乙方负责调配系统、温湿度控制系统的维护、维修和保养，如发生故障，应在48小时内修复，否则应提供备用机。如调配机有升级换代产品，乙方应在医院提出更换要求6个月内，提供全新产品。</w:t>
      </w:r>
    </w:p>
    <w:p w14:paraId="417E944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14.合同期内，中药配方颗粒的包装材料和调剂所需的耗材，由乙方免费提供。</w:t>
      </w:r>
    </w:p>
    <w:p w14:paraId="643EE80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15.乙方配备与业务量相匹配的符合上岗要求的专业技术人员，乙方负责对技术人员进行培训。</w:t>
      </w:r>
    </w:p>
    <w:p w14:paraId="029FDE2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16.合同签订起30日内乙方须完成设备的安装，设备系统稳定运行。</w:t>
      </w:r>
    </w:p>
    <w:p w14:paraId="6F5308D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rPr>
        <w:t>六、</w:t>
      </w:r>
      <w:r>
        <w:rPr>
          <w:rFonts w:hint="eastAsia" w:asciiTheme="minorEastAsia" w:hAnsiTheme="minorEastAsia" w:eastAsiaTheme="minorEastAsia" w:cstheme="minorEastAsia"/>
          <w:b/>
          <w:color w:val="000000"/>
          <w:kern w:val="0"/>
          <w:sz w:val="24"/>
          <w:szCs w:val="24"/>
          <w:highlight w:val="none"/>
        </w:rPr>
        <w:t>转包或分包</w:t>
      </w:r>
    </w:p>
    <w:p w14:paraId="140217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1.本合同范围内的服务，应由乙方直接供应，不得转让他人供应；</w:t>
      </w:r>
    </w:p>
    <w:p w14:paraId="0CA7A7E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2.乙方不得将本合同范围内的服务全部或部分分包给他人供应；</w:t>
      </w:r>
    </w:p>
    <w:p w14:paraId="03119B3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3.如有转让和分包行为，甲方将解除合同，并追究乙方的违约责任。</w:t>
      </w:r>
    </w:p>
    <w:p w14:paraId="1D6B719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七、违约终止合同及赔偿</w:t>
      </w:r>
    </w:p>
    <w:p w14:paraId="215E12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1.甲方在乙方存在如下违约情况时，有权单方面终止全部或部分合同，并保留进一步追究乙方责任的权利（包括经济赔偿）。</w:t>
      </w:r>
    </w:p>
    <w:p w14:paraId="3CBCC80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（1）乙方未能履行合同规定的义务；</w:t>
      </w:r>
    </w:p>
    <w:p w14:paraId="3242D00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（2）不按时供货；</w:t>
      </w:r>
    </w:p>
    <w:p w14:paraId="59BBEE5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（3）在使用过程中发生不良事件或质量问题；</w:t>
      </w:r>
    </w:p>
    <w:p w14:paraId="733DB43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（4）有严重影响甲方的正常工作及形象的行为；</w:t>
      </w:r>
    </w:p>
    <w:p w14:paraId="63932B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）与招标文件不符合的做法，或未履行其投标文件的承诺。</w:t>
      </w:r>
    </w:p>
    <w:p w14:paraId="0455EF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乙方如要提前终止合同，需提前3个月书面通知甲方，并征得甲方书面同意，否则继续按本合同履行。</w:t>
      </w:r>
    </w:p>
    <w:p w14:paraId="6EAA4A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除不可抗力以外（包括本合同第</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条第</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款规定的“政策性原因”），如发生乙方不能履行合同义务，或甲方发生中途终止合同等情况，应及时以书面形式通知对方。经双方协商可终止部分或全部合同的，双方无需承担违约责任。</w:t>
      </w:r>
    </w:p>
    <w:p w14:paraId="4C91A08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lang w:val="en-US" w:eastAsia="zh-CN"/>
        </w:rPr>
        <w:t>八</w:t>
      </w:r>
      <w:r>
        <w:rPr>
          <w:rFonts w:hint="eastAsia" w:asciiTheme="minorEastAsia" w:hAnsiTheme="minorEastAsia" w:eastAsiaTheme="minorEastAsia" w:cstheme="minorEastAsia"/>
          <w:b/>
          <w:kern w:val="0"/>
          <w:sz w:val="24"/>
          <w:szCs w:val="24"/>
          <w:highlight w:val="none"/>
        </w:rPr>
        <w:t>、不可抗力事件处理</w:t>
      </w:r>
    </w:p>
    <w:p w14:paraId="5A28F3C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1.在合同有效期内，任何一方因不可抗力事件导致不能履行合同，则合同履行期可延长，其延长期与不可抗力影响期相同。</w:t>
      </w:r>
    </w:p>
    <w:p w14:paraId="3C89B31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2.不可抗力事件发生后，应立即通知对方，并寄送有关权威机构出具的说明。</w:t>
      </w:r>
    </w:p>
    <w:p w14:paraId="3062DAE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3.不可抗力事件延续120天以上，双方应通过友好协商，确定是否继续履行合同。</w:t>
      </w:r>
    </w:p>
    <w:p w14:paraId="3D30AC8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lang w:val="en-US" w:eastAsia="zh-CN"/>
        </w:rPr>
        <w:t>九</w:t>
      </w:r>
      <w:r>
        <w:rPr>
          <w:rFonts w:hint="eastAsia" w:asciiTheme="minorEastAsia" w:hAnsiTheme="minorEastAsia" w:eastAsiaTheme="minorEastAsia" w:cstheme="minorEastAsia"/>
          <w:b/>
          <w:kern w:val="0"/>
          <w:sz w:val="24"/>
          <w:szCs w:val="24"/>
          <w:highlight w:val="none"/>
        </w:rPr>
        <w:t>、诉讼</w:t>
      </w:r>
    </w:p>
    <w:p w14:paraId="4E22B08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本合同项目所在地为义乌市，本合同发生争议产生的诉讼，可向项目所在地有管辖权的法院提起诉讼。</w:t>
      </w:r>
    </w:p>
    <w:p w14:paraId="424533C0">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lang w:val="en-US" w:eastAsia="zh-CN"/>
        </w:rPr>
        <w:t>十</w:t>
      </w:r>
      <w:r>
        <w:rPr>
          <w:rFonts w:hint="eastAsia" w:asciiTheme="minorEastAsia" w:hAnsiTheme="minorEastAsia" w:eastAsiaTheme="minorEastAsia" w:cstheme="minorEastAsia"/>
          <w:b/>
          <w:kern w:val="0"/>
          <w:sz w:val="24"/>
          <w:szCs w:val="24"/>
          <w:highlight w:val="none"/>
        </w:rPr>
        <w:t>、合同双方确认，本合同及合同约定的其它文件组成部分中的各项约定都是通过法定招标过程形成的合法成果，如果</w:t>
      </w:r>
      <w:r>
        <w:rPr>
          <w:rFonts w:hint="eastAsia" w:asciiTheme="minorEastAsia" w:hAnsiTheme="minorEastAsia" w:eastAsiaTheme="minorEastAsia" w:cstheme="minorEastAsia"/>
          <w:b/>
          <w:kern w:val="0"/>
          <w:sz w:val="24"/>
          <w:szCs w:val="24"/>
          <w:highlight w:val="none"/>
          <w:lang w:eastAsia="zh-CN"/>
        </w:rPr>
        <w:t>乙方</w:t>
      </w:r>
      <w:r>
        <w:rPr>
          <w:rFonts w:hint="eastAsia" w:asciiTheme="minorEastAsia" w:hAnsiTheme="minorEastAsia" w:eastAsiaTheme="minorEastAsia" w:cstheme="minorEastAsia"/>
          <w:b/>
          <w:kern w:val="0"/>
          <w:sz w:val="24"/>
          <w:szCs w:val="24"/>
          <w:highlight w:val="none"/>
        </w:rPr>
        <w:t>的投标文件与招标文件要求不一致的，履约时应以有利于</w:t>
      </w:r>
      <w:r>
        <w:rPr>
          <w:rFonts w:hint="eastAsia" w:asciiTheme="minorEastAsia" w:hAnsiTheme="minorEastAsia" w:eastAsiaTheme="minorEastAsia" w:cstheme="minorEastAsia"/>
          <w:b/>
          <w:kern w:val="0"/>
          <w:sz w:val="24"/>
          <w:szCs w:val="24"/>
          <w:highlight w:val="none"/>
          <w:lang w:eastAsia="zh-CN"/>
        </w:rPr>
        <w:t>甲方</w:t>
      </w:r>
      <w:r>
        <w:rPr>
          <w:rFonts w:hint="eastAsia" w:asciiTheme="minorEastAsia" w:hAnsiTheme="minorEastAsia" w:eastAsiaTheme="minorEastAsia" w:cstheme="minorEastAsia"/>
          <w:b/>
          <w:kern w:val="0"/>
          <w:sz w:val="24"/>
          <w:szCs w:val="24"/>
          <w:highlight w:val="none"/>
        </w:rPr>
        <w:t>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490FE81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lang w:val="en-US" w:eastAsia="zh-CN"/>
        </w:rPr>
        <w:t>十一</w:t>
      </w:r>
      <w:r>
        <w:rPr>
          <w:rFonts w:hint="eastAsia" w:asciiTheme="minorEastAsia" w:hAnsiTheme="minorEastAsia" w:eastAsiaTheme="minorEastAsia" w:cstheme="minorEastAsia"/>
          <w:b/>
          <w:kern w:val="0"/>
          <w:sz w:val="24"/>
          <w:szCs w:val="24"/>
          <w:highlight w:val="none"/>
        </w:rPr>
        <w:t>、合同生效及其它</w:t>
      </w:r>
    </w:p>
    <w:p w14:paraId="5F0E4FB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合同经双方法定代表人或授权代表签字并加盖单位公章后生效。</w:t>
      </w:r>
    </w:p>
    <w:p w14:paraId="1B6D3A1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本合同未尽事宜，遵照《</w:t>
      </w:r>
      <w:r>
        <w:rPr>
          <w:rFonts w:hint="eastAsia" w:asciiTheme="minorEastAsia" w:hAnsiTheme="minorEastAsia" w:eastAsiaTheme="minorEastAsia" w:cstheme="minorEastAsia"/>
          <w:kern w:val="0"/>
          <w:sz w:val="24"/>
          <w:szCs w:val="24"/>
          <w:highlight w:val="none"/>
          <w:lang w:val="en-US" w:eastAsia="zh-CN"/>
        </w:rPr>
        <w:t>中华人民共和国</w:t>
      </w:r>
      <w:r>
        <w:rPr>
          <w:rFonts w:hint="eastAsia" w:asciiTheme="minorEastAsia" w:hAnsiTheme="minorEastAsia" w:eastAsiaTheme="minorEastAsia" w:cstheme="minorEastAsia"/>
          <w:kern w:val="0"/>
          <w:sz w:val="24"/>
          <w:szCs w:val="24"/>
          <w:highlight w:val="none"/>
          <w:lang w:eastAsia="zh-CN"/>
        </w:rPr>
        <w:t>民法典</w:t>
      </w:r>
      <w:r>
        <w:rPr>
          <w:rFonts w:hint="eastAsia" w:asciiTheme="minorEastAsia" w:hAnsiTheme="minorEastAsia" w:eastAsiaTheme="minorEastAsia" w:cstheme="minorEastAsia"/>
          <w:kern w:val="0"/>
          <w:sz w:val="24"/>
          <w:szCs w:val="24"/>
          <w:highlight w:val="none"/>
        </w:rPr>
        <w:t>》有关条文执行。</w:t>
      </w:r>
    </w:p>
    <w:p w14:paraId="3805261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kern w:val="0"/>
          <w:sz w:val="24"/>
          <w:szCs w:val="24"/>
          <w:highlight w:val="none"/>
          <w:lang w:val="en-US" w:eastAsia="zh-CN"/>
        </w:rPr>
        <w:t>十三</w:t>
      </w:r>
      <w:r>
        <w:rPr>
          <w:rFonts w:hint="eastAsia" w:asciiTheme="minorEastAsia" w:hAnsiTheme="minorEastAsia" w:eastAsiaTheme="minorEastAsia" w:cstheme="minorEastAsia"/>
          <w:b/>
          <w:bCs/>
          <w:kern w:val="0"/>
          <w:sz w:val="24"/>
          <w:szCs w:val="24"/>
          <w:highlight w:val="none"/>
        </w:rPr>
        <w:t>、本合同一式份，</w:t>
      </w:r>
      <w:r>
        <w:rPr>
          <w:rFonts w:hint="eastAsia" w:asciiTheme="minorEastAsia" w:hAnsiTheme="minorEastAsia" w:eastAsiaTheme="minorEastAsia" w:cstheme="minorEastAsia"/>
          <w:b/>
          <w:bCs/>
          <w:kern w:val="0"/>
          <w:sz w:val="24"/>
          <w:szCs w:val="24"/>
          <w:highlight w:val="none"/>
          <w:lang w:val="en-US" w:eastAsia="zh-CN"/>
        </w:rPr>
        <w:t>甲方</w:t>
      </w:r>
      <w:r>
        <w:rPr>
          <w:rFonts w:hint="eastAsia" w:asciiTheme="minorEastAsia" w:hAnsiTheme="minorEastAsia" w:eastAsiaTheme="minorEastAsia" w:cstheme="minorEastAsia"/>
          <w:b/>
          <w:bCs/>
          <w:kern w:val="0"/>
          <w:sz w:val="24"/>
          <w:szCs w:val="24"/>
          <w:highlight w:val="none"/>
        </w:rPr>
        <w:t>执</w:t>
      </w:r>
      <w:r>
        <w:rPr>
          <w:rFonts w:hint="eastAsia" w:asciiTheme="minorEastAsia" w:hAnsiTheme="minorEastAsia" w:eastAsiaTheme="minorEastAsia" w:cstheme="minorEastAsia"/>
          <w:b/>
          <w:bCs/>
          <w:kern w:val="0"/>
          <w:sz w:val="24"/>
          <w:szCs w:val="24"/>
          <w:highlight w:val="none"/>
          <w:u w:val="single"/>
          <w:lang w:val="en-US" w:eastAsia="zh-CN"/>
        </w:rPr>
        <w:t xml:space="preserve">   </w:t>
      </w:r>
      <w:r>
        <w:rPr>
          <w:rFonts w:hint="eastAsia" w:asciiTheme="minorEastAsia" w:hAnsiTheme="minorEastAsia" w:eastAsiaTheme="minorEastAsia" w:cstheme="minorEastAsia"/>
          <w:b/>
          <w:bCs/>
          <w:kern w:val="0"/>
          <w:sz w:val="24"/>
          <w:szCs w:val="24"/>
          <w:highlight w:val="none"/>
        </w:rPr>
        <w:t>份，</w:t>
      </w:r>
      <w:r>
        <w:rPr>
          <w:rFonts w:hint="eastAsia" w:asciiTheme="minorEastAsia" w:hAnsiTheme="minorEastAsia" w:eastAsiaTheme="minorEastAsia" w:cstheme="minorEastAsia"/>
          <w:b/>
          <w:bCs/>
          <w:kern w:val="0"/>
          <w:sz w:val="24"/>
          <w:szCs w:val="24"/>
          <w:highlight w:val="none"/>
          <w:lang w:val="en-US" w:eastAsia="zh-CN"/>
        </w:rPr>
        <w:t>乙方执</w:t>
      </w:r>
      <w:r>
        <w:rPr>
          <w:rFonts w:hint="eastAsia" w:asciiTheme="minorEastAsia" w:hAnsiTheme="minorEastAsia" w:eastAsiaTheme="minorEastAsia" w:cstheme="minorEastAsia"/>
          <w:b/>
          <w:bCs/>
          <w:kern w:val="0"/>
          <w:sz w:val="24"/>
          <w:szCs w:val="24"/>
          <w:highlight w:val="none"/>
          <w:u w:val="single"/>
          <w:lang w:val="en-US" w:eastAsia="zh-CN"/>
        </w:rPr>
        <w:t xml:space="preserve">   </w:t>
      </w:r>
      <w:r>
        <w:rPr>
          <w:rFonts w:hint="eastAsia" w:asciiTheme="minorEastAsia" w:hAnsiTheme="minorEastAsia" w:eastAsiaTheme="minorEastAsia" w:cstheme="minorEastAsia"/>
          <w:b/>
          <w:bCs/>
          <w:kern w:val="0"/>
          <w:sz w:val="24"/>
          <w:szCs w:val="24"/>
          <w:highlight w:val="none"/>
          <w:u w:val="none"/>
          <w:lang w:val="en-US" w:eastAsia="zh-CN"/>
        </w:rPr>
        <w:t>份，</w:t>
      </w:r>
      <w:r>
        <w:rPr>
          <w:rFonts w:hint="eastAsia" w:asciiTheme="minorEastAsia" w:hAnsiTheme="minorEastAsia" w:eastAsiaTheme="minorEastAsia" w:cstheme="minorEastAsia"/>
          <w:b/>
          <w:bCs/>
          <w:kern w:val="0"/>
          <w:sz w:val="24"/>
          <w:szCs w:val="24"/>
          <w:highlight w:val="none"/>
        </w:rPr>
        <w:t>浙江开平企业管理咨询有限公司执一份，均</w:t>
      </w:r>
      <w:r>
        <w:rPr>
          <w:rFonts w:hint="eastAsia" w:asciiTheme="minorEastAsia" w:hAnsiTheme="minorEastAsia" w:eastAsiaTheme="minorEastAsia" w:cstheme="minorEastAsia"/>
          <w:b/>
          <w:bCs/>
          <w:kern w:val="0"/>
          <w:sz w:val="24"/>
          <w:szCs w:val="24"/>
          <w:highlight w:val="none"/>
          <w:lang w:eastAsia="zh-CN"/>
        </w:rPr>
        <w:t>具有</w:t>
      </w:r>
      <w:r>
        <w:rPr>
          <w:rFonts w:hint="eastAsia" w:asciiTheme="minorEastAsia" w:hAnsiTheme="minorEastAsia" w:eastAsiaTheme="minorEastAsia" w:cstheme="minorEastAsia"/>
          <w:b/>
          <w:bCs/>
          <w:kern w:val="0"/>
          <w:sz w:val="24"/>
          <w:szCs w:val="24"/>
          <w:highlight w:val="none"/>
        </w:rPr>
        <w:t>同等效力。</w:t>
      </w:r>
    </w:p>
    <w:p w14:paraId="499833CE">
      <w:pPr>
        <w:widowControl/>
        <w:spacing w:line="360" w:lineRule="auto"/>
        <w:ind w:firstLine="240" w:firstLineChars="100"/>
        <w:jc w:val="left"/>
        <w:rPr>
          <w:rFonts w:hint="eastAsia" w:asciiTheme="minorEastAsia" w:hAnsiTheme="minorEastAsia" w:eastAsiaTheme="minorEastAsia" w:cstheme="minorEastAsia"/>
          <w:color w:val="auto"/>
          <w:kern w:val="0"/>
          <w:sz w:val="24"/>
          <w:highlight w:val="none"/>
        </w:rPr>
      </w:pPr>
      <w:bookmarkStart w:id="42" w:name="_Toc362250712"/>
      <w:bookmarkStart w:id="43" w:name="_Toc235778631"/>
      <w:bookmarkStart w:id="44" w:name="_Toc213038698"/>
      <w:bookmarkStart w:id="45" w:name="_Toc187829774"/>
      <w:bookmarkStart w:id="46" w:name="_Toc274303259"/>
      <w:bookmarkStart w:id="47" w:name="_Toc238878129"/>
    </w:p>
    <w:tbl>
      <w:tblPr>
        <w:tblStyle w:val="28"/>
        <w:tblW w:w="92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5"/>
        <w:gridCol w:w="4312"/>
      </w:tblGrid>
      <w:tr w14:paraId="67F3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7ED14DC7">
            <w:pPr>
              <w:widowControl/>
              <w:spacing w:line="360" w:lineRule="auto"/>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甲    方：</w:t>
            </w:r>
            <w:r>
              <w:rPr>
                <w:rFonts w:hint="eastAsia" w:asciiTheme="minorEastAsia" w:hAnsiTheme="minorEastAsia" w:eastAsiaTheme="minorEastAsia" w:cstheme="minorEastAsia"/>
                <w:kern w:val="0"/>
                <w:sz w:val="24"/>
                <w:highlight w:val="none"/>
                <w:u w:val="single"/>
                <w:lang w:val="en-US" w:eastAsia="zh-CN"/>
              </w:rPr>
              <w:t xml:space="preserve">                         </w:t>
            </w:r>
          </w:p>
        </w:tc>
        <w:tc>
          <w:tcPr>
            <w:tcW w:w="4312" w:type="dxa"/>
            <w:noWrap w:val="0"/>
            <w:vAlign w:val="top"/>
          </w:tcPr>
          <w:p w14:paraId="7F06189A">
            <w:pPr>
              <w:widowControl/>
              <w:spacing w:line="360" w:lineRule="auto"/>
              <w:jc w:val="left"/>
              <w:rPr>
                <w:rFonts w:hint="eastAsia" w:asciiTheme="minorEastAsia" w:hAnsiTheme="minorEastAsia" w:eastAsiaTheme="minorEastAsia" w:cstheme="minorEastAsia"/>
                <w:kern w:val="0"/>
                <w:sz w:val="24"/>
                <w:highlight w:val="none"/>
                <w:u w:val="single"/>
                <w:lang w:val="en-US" w:eastAsia="zh-CN"/>
              </w:rPr>
            </w:pPr>
            <w:r>
              <w:rPr>
                <w:rFonts w:hint="eastAsia" w:asciiTheme="minorEastAsia" w:hAnsiTheme="minorEastAsia" w:eastAsiaTheme="minorEastAsia" w:cstheme="minorEastAsia"/>
                <w:kern w:val="0"/>
                <w:sz w:val="24"/>
                <w:highlight w:val="none"/>
              </w:rPr>
              <w:t>乙    方：</w:t>
            </w:r>
            <w:r>
              <w:rPr>
                <w:rFonts w:hint="eastAsia" w:asciiTheme="minorEastAsia" w:hAnsiTheme="minorEastAsia" w:eastAsiaTheme="minorEastAsia" w:cstheme="minorEastAsia"/>
                <w:kern w:val="0"/>
                <w:sz w:val="24"/>
                <w:highlight w:val="none"/>
                <w:u w:val="single"/>
                <w:lang w:val="en-US" w:eastAsia="zh-CN"/>
              </w:rPr>
              <w:t xml:space="preserve">                    </w:t>
            </w:r>
          </w:p>
        </w:tc>
      </w:tr>
      <w:tr w14:paraId="0B9A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3470ED30">
            <w:pPr>
              <w:widowControl/>
              <w:spacing w:line="360" w:lineRule="auto"/>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 xml:space="preserve">地    址： </w:t>
            </w:r>
            <w:r>
              <w:rPr>
                <w:rFonts w:hint="eastAsia" w:asciiTheme="minorEastAsia" w:hAnsiTheme="minorEastAsia" w:eastAsiaTheme="minorEastAsia" w:cstheme="minorEastAsia"/>
                <w:kern w:val="0"/>
                <w:sz w:val="24"/>
                <w:highlight w:val="none"/>
                <w:u w:val="single"/>
                <w:lang w:val="en-US" w:eastAsia="zh-CN"/>
              </w:rPr>
              <w:t xml:space="preserve">                      </w:t>
            </w:r>
          </w:p>
        </w:tc>
        <w:tc>
          <w:tcPr>
            <w:tcW w:w="4312" w:type="dxa"/>
            <w:noWrap w:val="0"/>
            <w:vAlign w:val="top"/>
          </w:tcPr>
          <w:p w14:paraId="32C88622">
            <w:pPr>
              <w:widowControl/>
              <w:spacing w:line="360" w:lineRule="auto"/>
              <w:jc w:val="left"/>
              <w:rPr>
                <w:rFonts w:hint="eastAsia" w:asciiTheme="minorEastAsia" w:hAnsiTheme="minorEastAsia" w:eastAsiaTheme="minorEastAsia" w:cstheme="minorEastAsia"/>
                <w:kern w:val="0"/>
                <w:sz w:val="24"/>
                <w:highlight w:val="none"/>
                <w:u w:val="single"/>
                <w:lang w:val="en-US" w:eastAsia="zh-CN"/>
              </w:rPr>
            </w:pPr>
            <w:r>
              <w:rPr>
                <w:rFonts w:hint="eastAsia" w:asciiTheme="minorEastAsia" w:hAnsiTheme="minorEastAsia" w:eastAsiaTheme="minorEastAsia" w:cstheme="minorEastAsia"/>
                <w:kern w:val="0"/>
                <w:sz w:val="24"/>
                <w:highlight w:val="none"/>
              </w:rPr>
              <w:t>地    址：</w:t>
            </w:r>
            <w:r>
              <w:rPr>
                <w:rFonts w:hint="eastAsia" w:asciiTheme="minorEastAsia" w:hAnsiTheme="minorEastAsia" w:eastAsiaTheme="minorEastAsia" w:cstheme="minorEastAsia"/>
                <w:kern w:val="0"/>
                <w:sz w:val="24"/>
                <w:highlight w:val="none"/>
                <w:u w:val="single"/>
                <w:lang w:val="en-US" w:eastAsia="zh-CN"/>
              </w:rPr>
              <w:t xml:space="preserve">                       </w:t>
            </w:r>
          </w:p>
        </w:tc>
      </w:tr>
      <w:tr w14:paraId="1A01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0FFABBA3">
            <w:pPr>
              <w:widowControl/>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法定代表人或</w:t>
            </w:r>
          </w:p>
          <w:p w14:paraId="2A17326A">
            <w:pPr>
              <w:widowControl/>
              <w:spacing w:line="360" w:lineRule="auto"/>
              <w:jc w:val="left"/>
              <w:rPr>
                <w:rFonts w:hint="eastAsia" w:asciiTheme="minorEastAsia" w:hAnsiTheme="minorEastAsia" w:eastAsiaTheme="minorEastAsia" w:cstheme="minorEastAsia"/>
                <w:kern w:val="0"/>
                <w:sz w:val="24"/>
                <w:highlight w:val="none"/>
                <w:u w:val="single"/>
                <w:lang w:val="en-US" w:eastAsia="zh-CN"/>
              </w:rPr>
            </w:pPr>
            <w:r>
              <w:rPr>
                <w:rFonts w:hint="eastAsia" w:asciiTheme="minorEastAsia" w:hAnsiTheme="minorEastAsia" w:eastAsiaTheme="minorEastAsia" w:cstheme="minorEastAsia"/>
                <w:kern w:val="0"/>
                <w:sz w:val="24"/>
                <w:highlight w:val="none"/>
              </w:rPr>
              <w:t>授权代表（签字）：</w:t>
            </w:r>
            <w:r>
              <w:rPr>
                <w:rFonts w:hint="eastAsia" w:asciiTheme="minorEastAsia" w:hAnsiTheme="minorEastAsia" w:eastAsiaTheme="minorEastAsia" w:cstheme="minorEastAsia"/>
                <w:kern w:val="0"/>
                <w:sz w:val="24"/>
                <w:highlight w:val="none"/>
                <w:u w:val="single"/>
                <w:lang w:val="en-US" w:eastAsia="zh-CN"/>
              </w:rPr>
              <w:t xml:space="preserve">               </w:t>
            </w:r>
          </w:p>
        </w:tc>
        <w:tc>
          <w:tcPr>
            <w:tcW w:w="4312" w:type="dxa"/>
            <w:noWrap w:val="0"/>
            <w:vAlign w:val="top"/>
          </w:tcPr>
          <w:p w14:paraId="18EE1FC3">
            <w:pPr>
              <w:widowControl/>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法定代表人或</w:t>
            </w:r>
          </w:p>
          <w:p w14:paraId="7C92B00D">
            <w:pPr>
              <w:widowControl/>
              <w:spacing w:line="360" w:lineRule="auto"/>
              <w:jc w:val="left"/>
              <w:rPr>
                <w:rFonts w:hint="eastAsia" w:asciiTheme="minorEastAsia" w:hAnsiTheme="minorEastAsia" w:eastAsiaTheme="minorEastAsia" w:cstheme="minorEastAsia"/>
                <w:kern w:val="0"/>
                <w:sz w:val="24"/>
                <w:highlight w:val="none"/>
                <w:u w:val="single"/>
                <w:lang w:val="en-US" w:eastAsia="zh-CN"/>
              </w:rPr>
            </w:pPr>
            <w:r>
              <w:rPr>
                <w:rFonts w:hint="eastAsia" w:asciiTheme="minorEastAsia" w:hAnsiTheme="minorEastAsia" w:eastAsiaTheme="minorEastAsia" w:cstheme="minorEastAsia"/>
                <w:kern w:val="0"/>
                <w:sz w:val="24"/>
                <w:highlight w:val="none"/>
              </w:rPr>
              <w:t>授权代表（签字）：</w:t>
            </w:r>
            <w:r>
              <w:rPr>
                <w:rFonts w:hint="eastAsia" w:asciiTheme="minorEastAsia" w:hAnsiTheme="minorEastAsia" w:eastAsiaTheme="minorEastAsia" w:cstheme="minorEastAsia"/>
                <w:kern w:val="0"/>
                <w:sz w:val="24"/>
                <w:highlight w:val="none"/>
                <w:u w:val="single"/>
                <w:lang w:val="en-US" w:eastAsia="zh-CN"/>
              </w:rPr>
              <w:t xml:space="preserve">                </w:t>
            </w:r>
          </w:p>
        </w:tc>
      </w:tr>
      <w:tr w14:paraId="3589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4F8E0C3F">
            <w:pPr>
              <w:widowControl/>
              <w:spacing w:line="360" w:lineRule="auto"/>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电   话：</w:t>
            </w:r>
            <w:r>
              <w:rPr>
                <w:rFonts w:hint="eastAsia" w:asciiTheme="minorEastAsia" w:hAnsiTheme="minorEastAsia" w:eastAsiaTheme="minorEastAsia" w:cstheme="minorEastAsia"/>
                <w:kern w:val="0"/>
                <w:sz w:val="24"/>
                <w:highlight w:val="none"/>
                <w:u w:val="single"/>
                <w:lang w:val="en-US" w:eastAsia="zh-CN"/>
              </w:rPr>
              <w:t xml:space="preserve">                        </w:t>
            </w:r>
          </w:p>
        </w:tc>
        <w:tc>
          <w:tcPr>
            <w:tcW w:w="4312" w:type="dxa"/>
            <w:noWrap w:val="0"/>
            <w:vAlign w:val="top"/>
          </w:tcPr>
          <w:p w14:paraId="09000176">
            <w:pPr>
              <w:widowControl/>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   话：</w:t>
            </w:r>
            <w:r>
              <w:rPr>
                <w:rFonts w:hint="eastAsia" w:asciiTheme="minorEastAsia" w:hAnsiTheme="minorEastAsia" w:eastAsiaTheme="minorEastAsia" w:cstheme="minorEastAsia"/>
                <w:kern w:val="0"/>
                <w:sz w:val="24"/>
                <w:highlight w:val="none"/>
                <w:u w:val="single"/>
                <w:lang w:val="en-US" w:eastAsia="zh-CN"/>
              </w:rPr>
              <w:t xml:space="preserve">                        </w:t>
            </w:r>
          </w:p>
        </w:tc>
      </w:tr>
      <w:tr w14:paraId="5F5C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471EA41D">
            <w:pPr>
              <w:widowControl/>
              <w:spacing w:line="360" w:lineRule="auto"/>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传   真：</w:t>
            </w:r>
            <w:r>
              <w:rPr>
                <w:rFonts w:hint="eastAsia" w:asciiTheme="minorEastAsia" w:hAnsiTheme="minorEastAsia" w:eastAsiaTheme="minorEastAsia" w:cstheme="minorEastAsia"/>
                <w:kern w:val="0"/>
                <w:sz w:val="24"/>
                <w:highlight w:val="none"/>
                <w:u w:val="single"/>
                <w:lang w:val="en-US" w:eastAsia="zh-CN"/>
              </w:rPr>
              <w:t xml:space="preserve">                        </w:t>
            </w:r>
          </w:p>
        </w:tc>
        <w:tc>
          <w:tcPr>
            <w:tcW w:w="4312" w:type="dxa"/>
            <w:noWrap w:val="0"/>
            <w:vAlign w:val="top"/>
          </w:tcPr>
          <w:p w14:paraId="11519469">
            <w:pPr>
              <w:widowControl/>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传   真：</w:t>
            </w:r>
            <w:r>
              <w:rPr>
                <w:rFonts w:hint="eastAsia" w:asciiTheme="minorEastAsia" w:hAnsiTheme="minorEastAsia" w:eastAsiaTheme="minorEastAsia" w:cstheme="minorEastAsia"/>
                <w:kern w:val="0"/>
                <w:sz w:val="24"/>
                <w:highlight w:val="none"/>
                <w:u w:val="single"/>
                <w:lang w:val="en-US" w:eastAsia="zh-CN"/>
              </w:rPr>
              <w:t xml:space="preserve">                        </w:t>
            </w:r>
          </w:p>
        </w:tc>
      </w:tr>
      <w:tr w14:paraId="056F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48C774FD">
            <w:pPr>
              <w:widowControl/>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开户名称：</w:t>
            </w:r>
            <w:r>
              <w:rPr>
                <w:rFonts w:hint="eastAsia" w:asciiTheme="minorEastAsia" w:hAnsiTheme="minorEastAsia" w:eastAsiaTheme="minorEastAsia" w:cstheme="minorEastAsia"/>
                <w:kern w:val="0"/>
                <w:sz w:val="24"/>
                <w:highlight w:val="none"/>
                <w:u w:val="single"/>
                <w:lang w:val="en-US" w:eastAsia="zh-CN"/>
              </w:rPr>
              <w:t xml:space="preserve">                       </w:t>
            </w:r>
          </w:p>
        </w:tc>
        <w:tc>
          <w:tcPr>
            <w:tcW w:w="4312" w:type="dxa"/>
            <w:noWrap w:val="0"/>
            <w:vAlign w:val="top"/>
          </w:tcPr>
          <w:p w14:paraId="66054C46">
            <w:pPr>
              <w:widowControl/>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开户名称：</w:t>
            </w:r>
            <w:r>
              <w:rPr>
                <w:rFonts w:hint="eastAsia" w:asciiTheme="minorEastAsia" w:hAnsiTheme="minorEastAsia" w:eastAsiaTheme="minorEastAsia" w:cstheme="minorEastAsia"/>
                <w:kern w:val="0"/>
                <w:sz w:val="24"/>
                <w:highlight w:val="none"/>
                <w:u w:val="single"/>
                <w:lang w:val="en-US" w:eastAsia="zh-CN"/>
              </w:rPr>
              <w:t xml:space="preserve">                        </w:t>
            </w:r>
          </w:p>
        </w:tc>
      </w:tr>
      <w:tr w14:paraId="29BE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59868765">
            <w:pPr>
              <w:widowControl/>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开户银行：</w:t>
            </w:r>
            <w:r>
              <w:rPr>
                <w:rFonts w:hint="eastAsia" w:asciiTheme="minorEastAsia" w:hAnsiTheme="minorEastAsia" w:eastAsiaTheme="minorEastAsia" w:cstheme="minorEastAsia"/>
                <w:kern w:val="0"/>
                <w:sz w:val="24"/>
                <w:highlight w:val="none"/>
                <w:u w:val="single"/>
                <w:lang w:val="en-US" w:eastAsia="zh-CN"/>
              </w:rPr>
              <w:t xml:space="preserve">                       </w:t>
            </w:r>
            <w:r>
              <w:rPr>
                <w:rFonts w:hint="eastAsia" w:asciiTheme="minorEastAsia" w:hAnsiTheme="minorEastAsia" w:eastAsiaTheme="minorEastAsia" w:cstheme="minorEastAsia"/>
                <w:kern w:val="0"/>
                <w:sz w:val="24"/>
                <w:highlight w:val="none"/>
              </w:rPr>
              <w:t xml:space="preserve"> </w:t>
            </w:r>
          </w:p>
        </w:tc>
        <w:tc>
          <w:tcPr>
            <w:tcW w:w="4312" w:type="dxa"/>
            <w:noWrap w:val="0"/>
            <w:vAlign w:val="top"/>
          </w:tcPr>
          <w:p w14:paraId="44E953C9">
            <w:pPr>
              <w:widowControl/>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开户银行：</w:t>
            </w:r>
            <w:r>
              <w:rPr>
                <w:rFonts w:hint="eastAsia" w:asciiTheme="minorEastAsia" w:hAnsiTheme="minorEastAsia" w:eastAsiaTheme="minorEastAsia" w:cstheme="minorEastAsia"/>
                <w:kern w:val="0"/>
                <w:sz w:val="24"/>
                <w:highlight w:val="none"/>
                <w:u w:val="single"/>
                <w:lang w:val="en-US" w:eastAsia="zh-CN"/>
              </w:rPr>
              <w:t xml:space="preserve">                        </w:t>
            </w:r>
          </w:p>
        </w:tc>
      </w:tr>
      <w:tr w14:paraId="373C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5C3080BD">
            <w:pPr>
              <w:widowControl/>
              <w:spacing w:line="360" w:lineRule="auto"/>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eastAsia="zh-CN"/>
              </w:rPr>
              <w:t>账</w:t>
            </w:r>
            <w:r>
              <w:rPr>
                <w:rFonts w:hint="eastAsia" w:asciiTheme="minorEastAsia" w:hAnsiTheme="minorEastAsia" w:eastAsiaTheme="minorEastAsia" w:cstheme="minorEastAsia"/>
                <w:kern w:val="0"/>
                <w:sz w:val="24"/>
                <w:highlight w:val="none"/>
              </w:rPr>
              <w:t xml:space="preserve">    号：</w:t>
            </w:r>
            <w:r>
              <w:rPr>
                <w:rFonts w:hint="eastAsia" w:asciiTheme="minorEastAsia" w:hAnsiTheme="minorEastAsia" w:eastAsiaTheme="minorEastAsia" w:cstheme="minorEastAsia"/>
                <w:kern w:val="0"/>
                <w:sz w:val="24"/>
                <w:highlight w:val="none"/>
                <w:u w:val="single"/>
                <w:lang w:val="en-US" w:eastAsia="zh-CN"/>
              </w:rPr>
              <w:t xml:space="preserve">                       </w:t>
            </w:r>
          </w:p>
        </w:tc>
        <w:tc>
          <w:tcPr>
            <w:tcW w:w="4312" w:type="dxa"/>
            <w:noWrap w:val="0"/>
            <w:vAlign w:val="top"/>
          </w:tcPr>
          <w:p w14:paraId="32F2134F">
            <w:pPr>
              <w:widowControl/>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账</w:t>
            </w:r>
            <w:r>
              <w:rPr>
                <w:rFonts w:hint="eastAsia" w:asciiTheme="minorEastAsia" w:hAnsiTheme="minorEastAsia" w:eastAsiaTheme="minorEastAsia" w:cstheme="minorEastAsia"/>
                <w:kern w:val="0"/>
                <w:sz w:val="24"/>
                <w:highlight w:val="none"/>
              </w:rPr>
              <w:t xml:space="preserve">    号：</w:t>
            </w:r>
            <w:r>
              <w:rPr>
                <w:rFonts w:hint="eastAsia" w:asciiTheme="minorEastAsia" w:hAnsiTheme="minorEastAsia" w:eastAsiaTheme="minorEastAsia" w:cstheme="minorEastAsia"/>
                <w:kern w:val="0"/>
                <w:sz w:val="24"/>
                <w:highlight w:val="none"/>
                <w:u w:val="single"/>
                <w:lang w:val="en-US" w:eastAsia="zh-CN"/>
              </w:rPr>
              <w:t xml:space="preserve">                        </w:t>
            </w:r>
          </w:p>
        </w:tc>
      </w:tr>
      <w:tr w14:paraId="14D0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0617ABAD">
            <w:pPr>
              <w:widowControl/>
              <w:spacing w:line="360" w:lineRule="auto"/>
              <w:jc w:val="left"/>
              <w:rPr>
                <w:rFonts w:hint="eastAsia" w:asciiTheme="minorEastAsia" w:hAnsiTheme="minorEastAsia" w:eastAsiaTheme="minorEastAsia" w:cstheme="minorEastAsia"/>
                <w:kern w:val="0"/>
                <w:sz w:val="24"/>
                <w:highlight w:val="none"/>
                <w:u w:val="single"/>
                <w:lang w:val="en-US" w:eastAsia="zh-CN"/>
              </w:rPr>
            </w:pPr>
            <w:r>
              <w:rPr>
                <w:rFonts w:hint="eastAsia" w:asciiTheme="minorEastAsia" w:hAnsiTheme="minorEastAsia" w:eastAsiaTheme="minorEastAsia" w:cstheme="minorEastAsia"/>
                <w:kern w:val="0"/>
                <w:sz w:val="24"/>
                <w:highlight w:val="none"/>
              </w:rPr>
              <w:t>签约时间：</w:t>
            </w:r>
            <w:r>
              <w:rPr>
                <w:rFonts w:hint="eastAsia" w:asciiTheme="minorEastAsia" w:hAnsiTheme="minorEastAsia" w:eastAsiaTheme="minorEastAsia" w:cstheme="minorEastAsia"/>
                <w:kern w:val="0"/>
                <w:sz w:val="24"/>
                <w:highlight w:val="none"/>
                <w:u w:val="single"/>
                <w:lang w:val="en-US" w:eastAsia="zh-CN"/>
              </w:rPr>
              <w:t xml:space="preserve">                       </w:t>
            </w:r>
          </w:p>
        </w:tc>
        <w:tc>
          <w:tcPr>
            <w:tcW w:w="4312" w:type="dxa"/>
            <w:noWrap w:val="0"/>
            <w:vAlign w:val="top"/>
          </w:tcPr>
          <w:p w14:paraId="786498D0">
            <w:pPr>
              <w:widowControl/>
              <w:spacing w:line="360" w:lineRule="auto"/>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签约地点：</w:t>
            </w:r>
            <w:r>
              <w:rPr>
                <w:rFonts w:hint="eastAsia" w:asciiTheme="minorEastAsia" w:hAnsiTheme="minorEastAsia" w:eastAsiaTheme="minorEastAsia" w:cstheme="minorEastAsia"/>
                <w:kern w:val="0"/>
                <w:sz w:val="24"/>
                <w:highlight w:val="none"/>
                <w:u w:val="single"/>
              </w:rPr>
              <w:t>浙江义乌</w:t>
            </w:r>
            <w:r>
              <w:rPr>
                <w:rFonts w:hint="eastAsia" w:asciiTheme="minorEastAsia" w:hAnsiTheme="minorEastAsia" w:eastAsiaTheme="minorEastAsia" w:cstheme="minorEastAsia"/>
                <w:kern w:val="0"/>
                <w:sz w:val="24"/>
                <w:highlight w:val="none"/>
                <w:u w:val="single"/>
                <w:lang w:val="en-US" w:eastAsia="zh-CN"/>
              </w:rPr>
              <w:t xml:space="preserve">                 </w:t>
            </w:r>
          </w:p>
        </w:tc>
      </w:tr>
    </w:tbl>
    <w:p w14:paraId="41D88C4E">
      <w:pPr>
        <w:pStyle w:val="11"/>
        <w:rPr>
          <w:rFonts w:hint="eastAsia" w:asciiTheme="minorEastAsia" w:hAnsiTheme="minorEastAsia" w:eastAsiaTheme="minorEastAsia" w:cstheme="minorEastAsia"/>
          <w:highlight w:val="none"/>
        </w:rPr>
      </w:pPr>
    </w:p>
    <w:p w14:paraId="46711452">
      <w:pPr>
        <w:rPr>
          <w:rFonts w:hint="eastAsia" w:asciiTheme="minorEastAsia" w:hAnsiTheme="minorEastAsia" w:eastAsiaTheme="minorEastAsia" w:cstheme="minorEastAsia"/>
          <w:color w:val="auto"/>
          <w:kern w:val="0"/>
          <w:sz w:val="24"/>
          <w:highlight w:val="none"/>
        </w:rPr>
      </w:pPr>
    </w:p>
    <w:p w14:paraId="79D3D49D">
      <w:pPr>
        <w:rPr>
          <w:rFonts w:hint="eastAsia" w:asciiTheme="minorEastAsia" w:hAnsiTheme="minorEastAsia" w:eastAsiaTheme="minorEastAsia" w:cstheme="minorEastAsia"/>
          <w:color w:val="auto"/>
          <w:highlight w:val="none"/>
        </w:rPr>
      </w:pPr>
    </w:p>
    <w:p w14:paraId="7D7BCFF3">
      <w:pPr>
        <w:jc w:val="center"/>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36"/>
          <w:szCs w:val="36"/>
          <w:highlight w:val="none"/>
        </w:rPr>
        <w:br w:type="page"/>
      </w:r>
      <w:r>
        <w:rPr>
          <w:rFonts w:hint="eastAsia" w:asciiTheme="minorEastAsia" w:hAnsiTheme="minorEastAsia" w:eastAsiaTheme="minorEastAsia" w:cstheme="minorEastAsia"/>
          <w:b/>
          <w:bCs/>
          <w:color w:val="auto"/>
          <w:sz w:val="32"/>
          <w:szCs w:val="32"/>
          <w:highlight w:val="none"/>
        </w:rPr>
        <w:t>廉洁购销承诺书</w:t>
      </w:r>
    </w:p>
    <w:p w14:paraId="4E203F02">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为进一步加强医疗卫生行风建设，规范购销行为，有效防范商业贿赂行为，营造公平交易诚实守信的购销环境，我司特向</w:t>
      </w:r>
      <w:r>
        <w:rPr>
          <w:rFonts w:hint="eastAsia" w:asciiTheme="minorEastAsia" w:hAnsiTheme="minorEastAsia" w:eastAsiaTheme="minorEastAsia" w:cstheme="minorEastAsia"/>
          <w:color w:val="auto"/>
          <w:kern w:val="0"/>
          <w:sz w:val="24"/>
          <w:szCs w:val="24"/>
          <w:highlight w:val="none"/>
          <w:lang w:eastAsia="zh-CN"/>
        </w:rPr>
        <w:t>义乌市苏溪镇中心卫生院</w:t>
      </w:r>
      <w:r>
        <w:rPr>
          <w:rFonts w:hint="eastAsia" w:asciiTheme="minorEastAsia" w:hAnsiTheme="minorEastAsia" w:eastAsiaTheme="minorEastAsia" w:cstheme="minorEastAsia"/>
          <w:color w:val="auto"/>
          <w:kern w:val="0"/>
          <w:sz w:val="24"/>
          <w:szCs w:val="24"/>
          <w:highlight w:val="none"/>
        </w:rPr>
        <w:t>作出以下承诺：</w:t>
      </w:r>
    </w:p>
    <w:p w14:paraId="0715AB25">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1.严格遵守国家廉洁从业法律法规和有关规定，积极履行相关义务，依法、依规开展业务活动。</w:t>
      </w:r>
    </w:p>
    <w:p w14:paraId="665092B9">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2.承诺我司业务人员未经备案不到医院诊疗、办公区域推销产品，不干预、影响医院采购或使用药械产品的选择权和正常诊疗秩序。</w:t>
      </w:r>
    </w:p>
    <w:p w14:paraId="120349CB">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3.需要进行有关产品推介的，按医院要求，书面向医院有关业务管理部门申请并经批准同意后，在指定时间和地点进行。</w:t>
      </w:r>
    </w:p>
    <w:p w14:paraId="3CBF83AD">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4.依法进行产品销售业务活动，公平竞争，不损害医院利益，不以行贿、回扣、提成等不正当手段促销产品，不得以任何形式给予医务人员“红包”、回扣或其他不正当利益。</w:t>
      </w:r>
    </w:p>
    <w:p w14:paraId="45D69ED0">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5.不得向医院科室或个人直接提供捐赠、资助、赞助；不向医院工作人员查询任何产品进、销、存量和使用情况，杜绝参与统方、统计药械用量等违法行为的发生。</w:t>
      </w:r>
    </w:p>
    <w:p w14:paraId="6DB1250D">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6.积极配合</w:t>
      </w:r>
      <w:r>
        <w:rPr>
          <w:rFonts w:hint="eastAsia" w:asciiTheme="minorEastAsia" w:hAnsiTheme="minorEastAsia" w:eastAsiaTheme="minorEastAsia" w:cstheme="minorEastAsia"/>
          <w:color w:val="auto"/>
          <w:kern w:val="0"/>
          <w:sz w:val="24"/>
          <w:szCs w:val="24"/>
          <w:highlight w:val="none"/>
          <w:lang w:eastAsia="zh-CN"/>
        </w:rPr>
        <w:t>医院</w:t>
      </w:r>
      <w:r>
        <w:rPr>
          <w:rFonts w:hint="eastAsia" w:asciiTheme="minorEastAsia" w:hAnsiTheme="minorEastAsia" w:eastAsiaTheme="minorEastAsia" w:cstheme="minorEastAsia"/>
          <w:color w:val="auto"/>
          <w:kern w:val="0"/>
          <w:sz w:val="24"/>
          <w:szCs w:val="24"/>
          <w:highlight w:val="none"/>
        </w:rPr>
        <w:t>在产品购销环节中有无商业贿赂的调查。如发现有违反以上承诺的行为，愿接受医院对公司销售品种进行限量、停用，解除协议，列入医院不良记录档案管理等处理。</w:t>
      </w:r>
    </w:p>
    <w:p w14:paraId="3260BC7A">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szCs w:val="24"/>
          <w:highlight w:val="none"/>
        </w:rPr>
        <w:t>7.我司自觉接受医院和社会的监督，若在开展业务活动中有违法违规行为</w:t>
      </w:r>
      <w:r>
        <w:rPr>
          <w:rFonts w:hint="eastAsia" w:asciiTheme="minorEastAsia" w:hAnsiTheme="minorEastAsia" w:eastAsiaTheme="minorEastAsia" w:cstheme="minorEastAsia"/>
          <w:color w:val="auto"/>
          <w:kern w:val="0"/>
          <w:sz w:val="24"/>
          <w:szCs w:val="24"/>
          <w:highlight w:val="none"/>
          <w:lang w:eastAsia="zh-CN"/>
        </w:rPr>
        <w:t>，自</w:t>
      </w:r>
      <w:r>
        <w:rPr>
          <w:rFonts w:hint="eastAsia" w:asciiTheme="minorEastAsia" w:hAnsiTheme="minorEastAsia" w:eastAsiaTheme="minorEastAsia" w:cstheme="minorEastAsia"/>
          <w:color w:val="auto"/>
          <w:kern w:val="0"/>
          <w:sz w:val="24"/>
          <w:szCs w:val="24"/>
          <w:highlight w:val="none"/>
        </w:rPr>
        <w:t>愿接受医院规章制度的处理，情节严重的，移送司法机关处理。</w:t>
      </w:r>
      <w:r>
        <w:rPr>
          <w:rFonts w:hint="eastAsia" w:asciiTheme="minorEastAsia" w:hAnsiTheme="minorEastAsia" w:eastAsiaTheme="minorEastAsia" w:cstheme="minorEastAsia"/>
          <w:color w:val="auto"/>
          <w:kern w:val="0"/>
          <w:sz w:val="28"/>
          <w:szCs w:val="28"/>
          <w:highlight w:val="none"/>
        </w:rPr>
        <w:t xml:space="preserve"> </w:t>
      </w:r>
    </w:p>
    <w:p w14:paraId="34526EF2">
      <w:pPr>
        <w:tabs>
          <w:tab w:val="left" w:pos="4830"/>
        </w:tabs>
        <w:spacing w:line="480" w:lineRule="exact"/>
        <w:ind w:firstLine="560" w:firstLineChars="200"/>
        <w:rPr>
          <w:rFonts w:hint="eastAsia" w:asciiTheme="minorEastAsia" w:hAnsiTheme="minorEastAsia" w:eastAsiaTheme="minorEastAsia" w:cstheme="minorEastAsia"/>
          <w:color w:val="auto"/>
          <w:kern w:val="0"/>
          <w:sz w:val="28"/>
          <w:szCs w:val="28"/>
          <w:highlight w:val="none"/>
        </w:rPr>
      </w:pPr>
    </w:p>
    <w:p w14:paraId="66EC0374">
      <w:pPr>
        <w:tabs>
          <w:tab w:val="left" w:pos="4830"/>
        </w:tabs>
        <w:spacing w:line="480" w:lineRule="exact"/>
        <w:ind w:firstLine="2800" w:firstLineChars="1000"/>
        <w:rPr>
          <w:rFonts w:hint="eastAsia" w:asciiTheme="minorEastAsia" w:hAnsiTheme="minorEastAsia" w:eastAsiaTheme="minorEastAsia" w:cstheme="minorEastAsia"/>
          <w:color w:val="auto"/>
          <w:kern w:val="0"/>
          <w:sz w:val="28"/>
          <w:szCs w:val="28"/>
          <w:highlight w:val="none"/>
          <w:u w:val="single"/>
        </w:rPr>
      </w:pPr>
      <w:r>
        <w:rPr>
          <w:rFonts w:hint="eastAsia" w:asciiTheme="minorEastAsia" w:hAnsiTheme="minorEastAsia" w:eastAsiaTheme="minorEastAsia" w:cstheme="minorEastAsia"/>
          <w:color w:val="auto"/>
          <w:kern w:val="0"/>
          <w:sz w:val="28"/>
          <w:szCs w:val="28"/>
          <w:highlight w:val="none"/>
        </w:rPr>
        <w:t>承诺企业（印章）</w:t>
      </w:r>
      <w:r>
        <w:rPr>
          <w:rFonts w:hint="eastAsia" w:asciiTheme="minorEastAsia" w:hAnsiTheme="minorEastAsia" w:eastAsiaTheme="minorEastAsia" w:cstheme="minorEastAsia"/>
          <w:color w:val="auto"/>
          <w:kern w:val="0"/>
          <w:sz w:val="28"/>
          <w:szCs w:val="28"/>
          <w:highlight w:val="none"/>
          <w:u w:val="single"/>
        </w:rPr>
        <w:t xml:space="preserve">              </w:t>
      </w:r>
    </w:p>
    <w:p w14:paraId="3957DF42">
      <w:pPr>
        <w:tabs>
          <w:tab w:val="left" w:pos="4830"/>
        </w:tabs>
        <w:spacing w:line="480" w:lineRule="exact"/>
        <w:ind w:firstLine="2800" w:firstLineChars="10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xml:space="preserve"> </w:t>
      </w:r>
    </w:p>
    <w:p w14:paraId="2CF4A50D">
      <w:pPr>
        <w:rPr>
          <w:rFonts w:hint="eastAsia" w:asciiTheme="minorEastAsia" w:hAnsiTheme="minorEastAsia" w:eastAsiaTheme="minorEastAsia" w:cstheme="minorEastAsia"/>
          <w:color w:val="auto"/>
          <w:sz w:val="36"/>
          <w:szCs w:val="36"/>
          <w:highlight w:val="none"/>
        </w:rPr>
      </w:pPr>
    </w:p>
    <w:p w14:paraId="118649B8">
      <w:pP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br w:type="page"/>
      </w:r>
    </w:p>
    <w:p w14:paraId="23E8F430">
      <w:pPr>
        <w:pStyle w:val="2"/>
        <w:ind w:firstLine="2880" w:firstLineChars="800"/>
        <w:rPr>
          <w:rFonts w:hint="eastAsia" w:asciiTheme="minorEastAsia" w:hAnsiTheme="minorEastAsia" w:eastAsiaTheme="minorEastAsia" w:cstheme="minorEastAsia"/>
          <w:bCs w:val="0"/>
          <w:color w:val="auto"/>
          <w:sz w:val="36"/>
          <w:szCs w:val="36"/>
          <w:highlight w:val="none"/>
        </w:rPr>
      </w:pPr>
      <w:r>
        <w:rPr>
          <w:rFonts w:hint="eastAsia" w:asciiTheme="minorEastAsia" w:hAnsiTheme="minorEastAsia" w:eastAsiaTheme="minorEastAsia" w:cstheme="minorEastAsia"/>
          <w:bCs w:val="0"/>
          <w:color w:val="auto"/>
          <w:sz w:val="36"/>
          <w:szCs w:val="36"/>
          <w:highlight w:val="none"/>
        </w:rPr>
        <w:t>第八章投标文件部分格式</w:t>
      </w:r>
      <w:bookmarkEnd w:id="42"/>
      <w:bookmarkEnd w:id="43"/>
      <w:bookmarkEnd w:id="44"/>
      <w:bookmarkEnd w:id="45"/>
      <w:bookmarkEnd w:id="46"/>
      <w:bookmarkEnd w:id="47"/>
    </w:p>
    <w:p w14:paraId="7064C41D">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一、商务技术响应文件部分格式：</w:t>
      </w:r>
    </w:p>
    <w:p w14:paraId="29E6945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法定代表人声明书</w:t>
      </w:r>
    </w:p>
    <w:p w14:paraId="73E015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投标人法定代表人授权书</w:t>
      </w:r>
    </w:p>
    <w:p w14:paraId="1F126330">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供应商承诺书</w:t>
      </w:r>
    </w:p>
    <w:p w14:paraId="23FD750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质量保证书</w:t>
      </w:r>
    </w:p>
    <w:p w14:paraId="45910839">
      <w:pPr>
        <w:pStyle w:val="7"/>
        <w:rPr>
          <w:rFonts w:hint="eastAsia" w:asciiTheme="minorEastAsia" w:hAnsiTheme="minorEastAsia" w:eastAsiaTheme="minorEastAsia" w:cstheme="minorEastAsia"/>
          <w:highlight w:val="none"/>
          <w:lang w:eastAsia="zh-CN"/>
        </w:rPr>
      </w:pPr>
    </w:p>
    <w:p w14:paraId="17614E78">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二、报价响应文件部分格式：</w:t>
      </w:r>
    </w:p>
    <w:p w14:paraId="3AB2A8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开标一览表</w:t>
      </w:r>
    </w:p>
    <w:p w14:paraId="2A92AF4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highlight w:val="none"/>
        </w:rPr>
      </w:pPr>
    </w:p>
    <w:p w14:paraId="724E2655">
      <w:pPr>
        <w:rPr>
          <w:rFonts w:hint="eastAsia" w:asciiTheme="minorEastAsia" w:hAnsiTheme="minorEastAsia" w:eastAsiaTheme="minorEastAsia" w:cstheme="minorEastAsia"/>
          <w:color w:val="auto"/>
          <w:sz w:val="30"/>
          <w:highlight w:val="none"/>
        </w:rPr>
      </w:pPr>
    </w:p>
    <w:p w14:paraId="419BF976">
      <w:pPr>
        <w:rPr>
          <w:rFonts w:hint="eastAsia" w:asciiTheme="minorEastAsia" w:hAnsiTheme="minorEastAsia" w:eastAsiaTheme="minorEastAsia" w:cstheme="minorEastAsia"/>
          <w:color w:val="auto"/>
          <w:sz w:val="30"/>
          <w:highlight w:val="none"/>
        </w:rPr>
      </w:pPr>
    </w:p>
    <w:p w14:paraId="748481EC">
      <w:pPr>
        <w:rPr>
          <w:rFonts w:hint="eastAsia" w:asciiTheme="minorEastAsia" w:hAnsiTheme="minorEastAsia" w:eastAsiaTheme="minorEastAsia" w:cstheme="minorEastAsia"/>
          <w:color w:val="auto"/>
          <w:sz w:val="30"/>
          <w:highlight w:val="none"/>
        </w:rPr>
      </w:pPr>
    </w:p>
    <w:p w14:paraId="2D162C55">
      <w:pPr>
        <w:rPr>
          <w:rFonts w:hint="eastAsia" w:asciiTheme="minorEastAsia" w:hAnsiTheme="minorEastAsia" w:eastAsiaTheme="minorEastAsia" w:cstheme="minorEastAsia"/>
          <w:color w:val="auto"/>
          <w:sz w:val="30"/>
          <w:highlight w:val="none"/>
        </w:rPr>
      </w:pPr>
    </w:p>
    <w:p w14:paraId="1223B993">
      <w:pPr>
        <w:jc w:val="center"/>
        <w:rPr>
          <w:rFonts w:hint="eastAsia" w:asciiTheme="minorEastAsia" w:hAnsiTheme="minorEastAsia" w:eastAsiaTheme="minorEastAsia" w:cstheme="minorEastAsia"/>
          <w:color w:val="auto"/>
          <w:highlight w:val="none"/>
          <w:u w:val="single"/>
        </w:rPr>
      </w:pPr>
    </w:p>
    <w:p w14:paraId="0A0EA192">
      <w:pPr>
        <w:outlineLvl w:val="1"/>
        <w:rPr>
          <w:rFonts w:hint="eastAsia" w:asciiTheme="minorEastAsia" w:hAnsiTheme="minorEastAsia" w:eastAsiaTheme="minorEastAsia" w:cstheme="minorEastAsia"/>
          <w:color w:val="auto"/>
          <w:sz w:val="52"/>
          <w:highlight w:val="none"/>
          <w:u w:val="single"/>
        </w:rPr>
      </w:pPr>
      <w:r>
        <w:rPr>
          <w:rFonts w:hint="eastAsia" w:asciiTheme="minorEastAsia" w:hAnsiTheme="minorEastAsia" w:eastAsiaTheme="minorEastAsia" w:cstheme="minorEastAsia"/>
          <w:b/>
          <w:bCs/>
          <w:color w:val="auto"/>
          <w:sz w:val="28"/>
          <w:highlight w:val="none"/>
        </w:rPr>
        <w:br w:type="page"/>
      </w:r>
      <w:r>
        <w:rPr>
          <w:rFonts w:hint="eastAsia" w:asciiTheme="minorEastAsia" w:hAnsiTheme="minorEastAsia" w:eastAsiaTheme="minorEastAsia" w:cstheme="minorEastAsia"/>
          <w:b/>
          <w:bCs/>
          <w:color w:val="auto"/>
          <w:sz w:val="28"/>
          <w:highlight w:val="none"/>
        </w:rPr>
        <w:t>封面格式</w:t>
      </w:r>
    </w:p>
    <w:p w14:paraId="04E24521">
      <w:pPr>
        <w:jc w:val="righ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正本（副本）</w:t>
      </w:r>
    </w:p>
    <w:p w14:paraId="457FB54E">
      <w:pPr>
        <w:jc w:val="center"/>
        <w:rPr>
          <w:rFonts w:hint="eastAsia" w:asciiTheme="minorEastAsia" w:hAnsiTheme="minorEastAsia" w:eastAsiaTheme="minorEastAsia" w:cstheme="minorEastAsia"/>
          <w:color w:val="auto"/>
          <w:highlight w:val="none"/>
          <w:u w:val="single"/>
        </w:rPr>
      </w:pPr>
    </w:p>
    <w:p w14:paraId="1143F939">
      <w:pPr>
        <w:jc w:val="center"/>
        <w:rPr>
          <w:rFonts w:hint="eastAsia" w:asciiTheme="minorEastAsia" w:hAnsiTheme="minorEastAsia" w:eastAsiaTheme="minorEastAsia" w:cstheme="minorEastAsia"/>
          <w:color w:val="auto"/>
          <w:highlight w:val="none"/>
          <w:u w:val="single"/>
        </w:rPr>
      </w:pPr>
    </w:p>
    <w:p w14:paraId="56704E4B">
      <w:pPr>
        <w:jc w:val="center"/>
        <w:rPr>
          <w:rFonts w:hint="eastAsia" w:asciiTheme="minorEastAsia" w:hAnsiTheme="minorEastAsia" w:eastAsiaTheme="minorEastAsia" w:cstheme="minorEastAsia"/>
          <w:color w:val="auto"/>
          <w:sz w:val="52"/>
          <w:highlight w:val="none"/>
        </w:rPr>
      </w:pPr>
      <w:r>
        <w:rPr>
          <w:rFonts w:hint="eastAsia" w:asciiTheme="minorEastAsia" w:hAnsiTheme="minorEastAsia" w:eastAsiaTheme="minorEastAsia" w:cstheme="minorEastAsia"/>
          <w:color w:val="auto"/>
          <w:sz w:val="52"/>
          <w:highlight w:val="none"/>
          <w:u w:val="single"/>
        </w:rPr>
        <w:t xml:space="preserve">                        </w:t>
      </w:r>
      <w:r>
        <w:rPr>
          <w:rFonts w:hint="eastAsia" w:asciiTheme="minorEastAsia" w:hAnsiTheme="minorEastAsia" w:eastAsiaTheme="minorEastAsia" w:cstheme="minorEastAsia"/>
          <w:color w:val="auto"/>
          <w:sz w:val="52"/>
          <w:highlight w:val="none"/>
        </w:rPr>
        <w:t>项目</w:t>
      </w:r>
    </w:p>
    <w:p w14:paraId="7260E901">
      <w:pPr>
        <w:rPr>
          <w:rFonts w:hint="eastAsia" w:asciiTheme="minorEastAsia" w:hAnsiTheme="minorEastAsia" w:eastAsiaTheme="minorEastAsia" w:cstheme="minorEastAsia"/>
          <w:color w:val="auto"/>
          <w:sz w:val="52"/>
          <w:highlight w:val="none"/>
        </w:rPr>
      </w:pPr>
    </w:p>
    <w:p w14:paraId="2593536E">
      <w:pPr>
        <w:jc w:val="center"/>
        <w:rPr>
          <w:rFonts w:hint="eastAsia" w:asciiTheme="minorEastAsia" w:hAnsiTheme="minorEastAsia" w:eastAsiaTheme="minorEastAsia" w:cstheme="minorEastAsia"/>
          <w:b/>
          <w:bCs/>
          <w:color w:val="auto"/>
          <w:sz w:val="72"/>
          <w:highlight w:val="none"/>
        </w:rPr>
      </w:pPr>
      <w:r>
        <w:rPr>
          <w:rFonts w:hint="eastAsia" w:asciiTheme="minorEastAsia" w:hAnsiTheme="minorEastAsia" w:eastAsiaTheme="minorEastAsia" w:cstheme="minorEastAsia"/>
          <w:b/>
          <w:bCs/>
          <w:color w:val="auto"/>
          <w:sz w:val="72"/>
          <w:highlight w:val="none"/>
        </w:rPr>
        <w:t>投 标 文 件</w:t>
      </w:r>
    </w:p>
    <w:p w14:paraId="41963DC6">
      <w:pPr>
        <w:jc w:val="center"/>
        <w:rPr>
          <w:rFonts w:hint="eastAsia" w:asciiTheme="minorEastAsia" w:hAnsiTheme="minorEastAsia" w:eastAsiaTheme="minorEastAsia" w:cstheme="minorEastAsia"/>
          <w:b/>
          <w:bCs/>
          <w:color w:val="auto"/>
          <w:sz w:val="28"/>
          <w:highlight w:val="none"/>
        </w:rPr>
      </w:pPr>
      <w:r>
        <w:rPr>
          <w:rFonts w:hint="eastAsia" w:asciiTheme="minorEastAsia" w:hAnsiTheme="minorEastAsia" w:eastAsiaTheme="minorEastAsia" w:cstheme="minorEastAsia"/>
          <w:b/>
          <w:bCs/>
          <w:color w:val="auto"/>
          <w:sz w:val="28"/>
          <w:highlight w:val="none"/>
        </w:rPr>
        <w:t>（采购编号：      ）</w:t>
      </w:r>
    </w:p>
    <w:p w14:paraId="560C063F">
      <w:pPr>
        <w:jc w:val="center"/>
        <w:rPr>
          <w:rFonts w:hint="eastAsia" w:asciiTheme="minorEastAsia" w:hAnsiTheme="minorEastAsia" w:eastAsiaTheme="minorEastAsia" w:cstheme="minorEastAsia"/>
          <w:b/>
          <w:bCs/>
          <w:color w:val="auto"/>
          <w:sz w:val="28"/>
          <w:highlight w:val="none"/>
        </w:rPr>
      </w:pPr>
    </w:p>
    <w:p w14:paraId="681E9A62">
      <w:pPr>
        <w:jc w:val="center"/>
        <w:rPr>
          <w:rFonts w:hint="eastAsia" w:asciiTheme="minorEastAsia" w:hAnsiTheme="minorEastAsia" w:eastAsiaTheme="minorEastAsia" w:cstheme="minorEastAsia"/>
          <w:b/>
          <w:bCs/>
          <w:color w:val="auto"/>
          <w:sz w:val="28"/>
          <w:highlight w:val="none"/>
        </w:rPr>
      </w:pPr>
    </w:p>
    <w:p w14:paraId="3B4B75F1">
      <w:pPr>
        <w:jc w:val="center"/>
        <w:rPr>
          <w:rFonts w:hint="eastAsia" w:asciiTheme="minorEastAsia" w:hAnsiTheme="minorEastAsia" w:eastAsiaTheme="minorEastAsia" w:cstheme="minorEastAsia"/>
          <w:b/>
          <w:bCs/>
          <w:color w:val="auto"/>
          <w:sz w:val="28"/>
          <w:highlight w:val="none"/>
        </w:rPr>
      </w:pPr>
    </w:p>
    <w:p w14:paraId="06931BE9">
      <w:pPr>
        <w:jc w:val="center"/>
        <w:rPr>
          <w:rFonts w:hint="eastAsia" w:asciiTheme="minorEastAsia" w:hAnsiTheme="minorEastAsia" w:eastAsiaTheme="minorEastAsia" w:cstheme="minorEastAsia"/>
          <w:b/>
          <w:bCs/>
          <w:color w:val="auto"/>
          <w:sz w:val="28"/>
          <w:highlight w:val="none"/>
        </w:rPr>
      </w:pPr>
    </w:p>
    <w:p w14:paraId="286B3232">
      <w:pPr>
        <w:jc w:val="center"/>
        <w:rPr>
          <w:rFonts w:hint="eastAsia" w:asciiTheme="minorEastAsia" w:hAnsiTheme="minorEastAsia" w:eastAsiaTheme="minorEastAsia" w:cstheme="minorEastAsia"/>
          <w:b/>
          <w:bCs/>
          <w:color w:val="auto"/>
          <w:sz w:val="28"/>
          <w:highlight w:val="none"/>
        </w:rPr>
      </w:pPr>
    </w:p>
    <w:p w14:paraId="67660096">
      <w:pPr>
        <w:jc w:val="center"/>
        <w:rPr>
          <w:rFonts w:hint="eastAsia" w:asciiTheme="minorEastAsia" w:hAnsiTheme="minorEastAsia" w:eastAsiaTheme="minorEastAsia" w:cstheme="minorEastAsia"/>
          <w:b/>
          <w:bCs/>
          <w:color w:val="auto"/>
          <w:sz w:val="28"/>
          <w:highlight w:val="none"/>
        </w:rPr>
      </w:pPr>
    </w:p>
    <w:p w14:paraId="052E7D43">
      <w:pPr>
        <w:pStyle w:val="7"/>
        <w:rPr>
          <w:rFonts w:hint="eastAsia" w:asciiTheme="minorEastAsia" w:hAnsiTheme="minorEastAsia" w:eastAsiaTheme="minorEastAsia" w:cstheme="minorEastAsia"/>
          <w:b/>
          <w:bCs/>
          <w:color w:val="auto"/>
          <w:sz w:val="28"/>
          <w:highlight w:val="none"/>
        </w:rPr>
      </w:pPr>
    </w:p>
    <w:p w14:paraId="3D092522">
      <w:pPr>
        <w:pStyle w:val="6"/>
        <w:rPr>
          <w:rFonts w:hint="eastAsia" w:asciiTheme="minorEastAsia" w:hAnsiTheme="minorEastAsia" w:eastAsiaTheme="minorEastAsia" w:cstheme="minorEastAsia"/>
          <w:b/>
          <w:bCs/>
          <w:color w:val="auto"/>
          <w:sz w:val="28"/>
          <w:highlight w:val="none"/>
        </w:rPr>
      </w:pPr>
    </w:p>
    <w:p w14:paraId="1A1357C2">
      <w:pPr>
        <w:pStyle w:val="7"/>
        <w:rPr>
          <w:rFonts w:hint="eastAsia" w:asciiTheme="minorEastAsia" w:hAnsiTheme="minorEastAsia" w:eastAsiaTheme="minorEastAsia" w:cstheme="minorEastAsia"/>
          <w:b/>
          <w:bCs/>
          <w:color w:val="auto"/>
          <w:sz w:val="28"/>
          <w:highlight w:val="none"/>
        </w:rPr>
      </w:pPr>
    </w:p>
    <w:p w14:paraId="3F023A1B">
      <w:pPr>
        <w:pStyle w:val="6"/>
        <w:rPr>
          <w:rFonts w:hint="eastAsia" w:asciiTheme="minorEastAsia" w:hAnsiTheme="minorEastAsia" w:eastAsiaTheme="minorEastAsia" w:cstheme="minorEastAsia"/>
          <w:b/>
          <w:bCs/>
          <w:color w:val="auto"/>
          <w:sz w:val="28"/>
          <w:highlight w:val="none"/>
        </w:rPr>
      </w:pPr>
    </w:p>
    <w:p w14:paraId="50BE7A97">
      <w:pPr>
        <w:pStyle w:val="7"/>
        <w:rPr>
          <w:rFonts w:hint="eastAsia" w:asciiTheme="minorEastAsia" w:hAnsiTheme="minorEastAsia" w:eastAsiaTheme="minorEastAsia" w:cstheme="minorEastAsia"/>
          <w:highlight w:val="none"/>
        </w:rPr>
      </w:pPr>
    </w:p>
    <w:p w14:paraId="11998231">
      <w:pPr>
        <w:pStyle w:val="6"/>
        <w:rPr>
          <w:rFonts w:hint="eastAsia" w:asciiTheme="minorEastAsia" w:hAnsiTheme="minorEastAsia" w:eastAsiaTheme="minorEastAsia" w:cstheme="minorEastAsia"/>
          <w:b/>
          <w:bCs/>
          <w:color w:val="auto"/>
          <w:sz w:val="28"/>
          <w:highlight w:val="none"/>
        </w:rPr>
      </w:pPr>
    </w:p>
    <w:p w14:paraId="150405DF">
      <w:pPr>
        <w:pStyle w:val="7"/>
        <w:rPr>
          <w:rFonts w:hint="eastAsia" w:asciiTheme="minorEastAsia" w:hAnsiTheme="minorEastAsia" w:eastAsiaTheme="minorEastAsia" w:cstheme="minorEastAsia"/>
          <w:highlight w:val="none"/>
        </w:rPr>
      </w:pPr>
    </w:p>
    <w:p w14:paraId="18DC190D">
      <w:pPr>
        <w:jc w:val="center"/>
        <w:rPr>
          <w:rFonts w:hint="eastAsia" w:asciiTheme="minorEastAsia" w:hAnsiTheme="minorEastAsia" w:eastAsiaTheme="minorEastAsia" w:cstheme="minorEastAsia"/>
          <w:b/>
          <w:bCs/>
          <w:color w:val="auto"/>
          <w:sz w:val="28"/>
          <w:highlight w:val="none"/>
        </w:rPr>
      </w:pPr>
    </w:p>
    <w:p w14:paraId="6B61ECAD">
      <w:pPr>
        <w:spacing w:line="900" w:lineRule="exact"/>
        <w:ind w:firstLine="320" w:firstLineChars="100"/>
        <w:rPr>
          <w:rFonts w:hint="eastAsia" w:asciiTheme="minorEastAsia" w:hAnsiTheme="minorEastAsia" w:eastAsiaTheme="minorEastAsia" w:cstheme="minorEastAsia"/>
          <w:color w:val="auto"/>
          <w:sz w:val="32"/>
          <w:highlight w:val="none"/>
          <w:u w:val="single"/>
        </w:rPr>
      </w:pPr>
      <w:r>
        <w:rPr>
          <w:rFonts w:hint="eastAsia" w:asciiTheme="minorEastAsia" w:hAnsiTheme="minorEastAsia" w:eastAsiaTheme="minorEastAsia" w:cstheme="minorEastAsia"/>
          <w:color w:val="auto"/>
          <w:sz w:val="32"/>
          <w:highlight w:val="none"/>
        </w:rPr>
        <w:t>投标文件内容：</w:t>
      </w:r>
      <w:r>
        <w:rPr>
          <w:rFonts w:hint="eastAsia" w:asciiTheme="minorEastAsia" w:hAnsiTheme="minorEastAsia" w:eastAsiaTheme="minorEastAsia" w:cstheme="minorEastAsia"/>
          <w:color w:val="auto"/>
          <w:sz w:val="32"/>
          <w:highlight w:val="none"/>
          <w:u w:val="single"/>
        </w:rPr>
        <w:t xml:space="preserve">    （商务技术响应文件或报价响应文件）  </w:t>
      </w:r>
    </w:p>
    <w:p w14:paraId="796ADD17">
      <w:pPr>
        <w:spacing w:line="900" w:lineRule="exact"/>
        <w:ind w:firstLine="313" w:firstLineChars="98"/>
        <w:rPr>
          <w:rFonts w:hint="eastAsia" w:asciiTheme="minorEastAsia" w:hAnsiTheme="minorEastAsia" w:eastAsiaTheme="minorEastAsia" w:cstheme="minorEastAsia"/>
          <w:color w:val="auto"/>
          <w:sz w:val="32"/>
          <w:highlight w:val="none"/>
          <w:u w:val="single"/>
        </w:rPr>
      </w:pPr>
      <w:r>
        <w:rPr>
          <w:rFonts w:hint="eastAsia" w:asciiTheme="minorEastAsia" w:hAnsiTheme="minorEastAsia" w:eastAsiaTheme="minorEastAsia" w:cstheme="minorEastAsia"/>
          <w:color w:val="auto"/>
          <w:sz w:val="32"/>
          <w:highlight w:val="none"/>
        </w:rPr>
        <w:t>投   标   人：</w:t>
      </w:r>
      <w:r>
        <w:rPr>
          <w:rFonts w:hint="eastAsia" w:asciiTheme="minorEastAsia" w:hAnsiTheme="minorEastAsia" w:eastAsiaTheme="minorEastAsia" w:cstheme="minorEastAsia"/>
          <w:color w:val="auto"/>
          <w:sz w:val="32"/>
          <w:highlight w:val="none"/>
          <w:u w:val="single"/>
        </w:rPr>
        <w:t xml:space="preserve">                             （盖章）  </w:t>
      </w:r>
    </w:p>
    <w:p w14:paraId="1DEF43F6">
      <w:pPr>
        <w:spacing w:line="900" w:lineRule="exact"/>
        <w:ind w:left="-4" w:leftChars="-2" w:firstLine="320" w:firstLineChars="100"/>
        <w:rPr>
          <w:rFonts w:hint="eastAsia" w:asciiTheme="minorEastAsia" w:hAnsiTheme="minorEastAsia" w:eastAsiaTheme="minorEastAsia" w:cstheme="minorEastAsia"/>
          <w:color w:val="auto"/>
          <w:sz w:val="32"/>
          <w:highlight w:val="none"/>
          <w:u w:val="single"/>
        </w:rPr>
      </w:pPr>
      <w:r>
        <w:rPr>
          <w:rFonts w:hint="eastAsia" w:asciiTheme="minorEastAsia" w:hAnsiTheme="minorEastAsia" w:eastAsiaTheme="minorEastAsia" w:cstheme="minorEastAsia"/>
          <w:color w:val="auto"/>
          <w:sz w:val="32"/>
          <w:highlight w:val="none"/>
        </w:rPr>
        <w:t>法定代表人或其委托代理人：</w:t>
      </w:r>
      <w:r>
        <w:rPr>
          <w:rFonts w:hint="eastAsia" w:asciiTheme="minorEastAsia" w:hAnsiTheme="minorEastAsia" w:eastAsiaTheme="minorEastAsia" w:cstheme="minorEastAsia"/>
          <w:color w:val="auto"/>
          <w:sz w:val="32"/>
          <w:highlight w:val="none"/>
          <w:u w:val="single"/>
        </w:rPr>
        <w:t xml:space="preserve">            （签字或盖章） </w:t>
      </w:r>
    </w:p>
    <w:p w14:paraId="107BF948">
      <w:pPr>
        <w:spacing w:line="900" w:lineRule="exact"/>
        <w:ind w:firstLine="160" w:firstLineChars="50"/>
        <w:rPr>
          <w:rFonts w:hint="eastAsia" w:asciiTheme="minorEastAsia" w:hAnsiTheme="minorEastAsia" w:eastAsiaTheme="minorEastAsia" w:cstheme="minorEastAsia"/>
          <w:color w:val="auto"/>
          <w:sz w:val="32"/>
          <w:highlight w:val="none"/>
        </w:rPr>
      </w:pPr>
      <w:r>
        <w:rPr>
          <w:rFonts w:hint="eastAsia" w:asciiTheme="minorEastAsia" w:hAnsiTheme="minorEastAsia" w:eastAsiaTheme="minorEastAsia" w:cstheme="minorEastAsia"/>
          <w:color w:val="auto"/>
          <w:sz w:val="32"/>
          <w:highlight w:val="none"/>
        </w:rPr>
        <w:t xml:space="preserve"> 日 期：</w:t>
      </w:r>
      <w:r>
        <w:rPr>
          <w:rFonts w:hint="eastAsia" w:asciiTheme="minorEastAsia" w:hAnsiTheme="minorEastAsia" w:eastAsiaTheme="minorEastAsia" w:cstheme="minorEastAsia"/>
          <w:color w:val="auto"/>
          <w:sz w:val="32"/>
          <w:highlight w:val="none"/>
          <w:u w:val="single"/>
        </w:rPr>
        <w:t xml:space="preserve">          </w:t>
      </w:r>
      <w:r>
        <w:rPr>
          <w:rFonts w:hint="eastAsia" w:asciiTheme="minorEastAsia" w:hAnsiTheme="minorEastAsia" w:eastAsiaTheme="minorEastAsia" w:cstheme="minorEastAsia"/>
          <w:color w:val="auto"/>
          <w:sz w:val="32"/>
          <w:highlight w:val="none"/>
        </w:rPr>
        <w:t>年</w:t>
      </w:r>
      <w:r>
        <w:rPr>
          <w:rFonts w:hint="eastAsia" w:asciiTheme="minorEastAsia" w:hAnsiTheme="minorEastAsia" w:eastAsiaTheme="minorEastAsia" w:cstheme="minorEastAsia"/>
          <w:color w:val="auto"/>
          <w:sz w:val="32"/>
          <w:highlight w:val="none"/>
          <w:u w:val="single"/>
        </w:rPr>
        <w:t xml:space="preserve">            </w:t>
      </w:r>
      <w:r>
        <w:rPr>
          <w:rFonts w:hint="eastAsia" w:asciiTheme="minorEastAsia" w:hAnsiTheme="minorEastAsia" w:eastAsiaTheme="minorEastAsia" w:cstheme="minorEastAsia"/>
          <w:color w:val="auto"/>
          <w:sz w:val="32"/>
          <w:highlight w:val="none"/>
        </w:rPr>
        <w:t>月</w:t>
      </w:r>
      <w:r>
        <w:rPr>
          <w:rFonts w:hint="eastAsia" w:asciiTheme="minorEastAsia" w:hAnsiTheme="minorEastAsia" w:eastAsiaTheme="minorEastAsia" w:cstheme="minorEastAsia"/>
          <w:color w:val="auto"/>
          <w:sz w:val="32"/>
          <w:highlight w:val="none"/>
          <w:u w:val="single"/>
        </w:rPr>
        <w:t xml:space="preserve">               </w:t>
      </w:r>
      <w:r>
        <w:rPr>
          <w:rFonts w:hint="eastAsia" w:asciiTheme="minorEastAsia" w:hAnsiTheme="minorEastAsia" w:eastAsiaTheme="minorEastAsia" w:cstheme="minorEastAsia"/>
          <w:color w:val="auto"/>
          <w:sz w:val="32"/>
          <w:highlight w:val="none"/>
        </w:rPr>
        <w:t>日</w:t>
      </w:r>
    </w:p>
    <w:p w14:paraId="3824BFC7">
      <w:pPr>
        <w:rPr>
          <w:rFonts w:hint="eastAsia" w:asciiTheme="minorEastAsia" w:hAnsiTheme="minorEastAsia" w:eastAsiaTheme="minorEastAsia" w:cstheme="minorEastAsia"/>
          <w:b/>
          <w:bCs/>
          <w:color w:val="auto"/>
          <w:sz w:val="36"/>
          <w:szCs w:val="36"/>
          <w:highlight w:val="none"/>
        </w:rPr>
      </w:pPr>
    </w:p>
    <w:p w14:paraId="32761F67">
      <w:pP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br w:type="page"/>
      </w:r>
    </w:p>
    <w:p w14:paraId="4BD69BBE">
      <w:pPr>
        <w:spacing w:line="480" w:lineRule="auto"/>
        <w:jc w:val="center"/>
        <w:outlineLvl w:val="1"/>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bCs/>
          <w:color w:val="auto"/>
          <w:sz w:val="36"/>
          <w:szCs w:val="36"/>
          <w:highlight w:val="none"/>
        </w:rPr>
        <w:t>法定代表人声明书（格式）</w:t>
      </w:r>
    </w:p>
    <w:p w14:paraId="0E327A31">
      <w:pPr>
        <w:spacing w:line="540" w:lineRule="exact"/>
        <w:rPr>
          <w:rFonts w:hint="eastAsia" w:asciiTheme="minorEastAsia" w:hAnsiTheme="minorEastAsia" w:eastAsiaTheme="minorEastAsia" w:cstheme="minorEastAsia"/>
          <w:color w:val="auto"/>
          <w:highlight w:val="none"/>
        </w:rPr>
      </w:pPr>
    </w:p>
    <w:p w14:paraId="11EF342E">
      <w:pPr>
        <w:spacing w:line="540" w:lineRule="exact"/>
        <w:rPr>
          <w:rFonts w:hint="eastAsia" w:asciiTheme="minorEastAsia" w:hAnsiTheme="minorEastAsia" w:eastAsiaTheme="minorEastAsia" w:cstheme="minorEastAsia"/>
          <w:color w:val="auto"/>
          <w:sz w:val="24"/>
          <w:highlight w:val="none"/>
        </w:rPr>
      </w:pPr>
    </w:p>
    <w:p w14:paraId="1F859A6D">
      <w:pPr>
        <w:spacing w:line="540" w:lineRule="exact"/>
        <w:rPr>
          <w:rFonts w:hint="eastAsia" w:asciiTheme="minorEastAsia" w:hAnsiTheme="minorEastAsia" w:eastAsiaTheme="minorEastAsia" w:cstheme="minorEastAsia"/>
          <w:color w:val="auto"/>
          <w:sz w:val="24"/>
          <w:highlight w:val="none"/>
        </w:rPr>
      </w:pPr>
    </w:p>
    <w:p w14:paraId="5AE60287">
      <w:pPr>
        <w:spacing w:line="5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                           性别：</w:t>
      </w:r>
    </w:p>
    <w:p w14:paraId="021A9287">
      <w:pPr>
        <w:spacing w:line="5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                           职务：</w:t>
      </w:r>
    </w:p>
    <w:p w14:paraId="45A937B6">
      <w:pPr>
        <w:spacing w:line="5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p>
    <w:p w14:paraId="20D3D4F2">
      <w:pPr>
        <w:spacing w:line="5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（姓名）</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（单位名称）的法定代表人，法定地址：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项目的投标、开标等事宜，签署上述投标文件，进行合同谈判、签署合同和处理与之有关的一切事务。</w:t>
      </w:r>
    </w:p>
    <w:p w14:paraId="1738C372">
      <w:pPr>
        <w:spacing w:line="540" w:lineRule="exact"/>
        <w:ind w:firstLine="480" w:firstLineChars="200"/>
        <w:rPr>
          <w:rFonts w:hint="eastAsia" w:asciiTheme="minorEastAsia" w:hAnsiTheme="minorEastAsia" w:eastAsiaTheme="minorEastAsia" w:cstheme="minorEastAsia"/>
          <w:color w:val="auto"/>
          <w:sz w:val="24"/>
          <w:highlight w:val="none"/>
        </w:rPr>
      </w:pPr>
    </w:p>
    <w:p w14:paraId="0B3AB2D9">
      <w:pPr>
        <w:spacing w:line="5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特此声明</w:t>
      </w:r>
    </w:p>
    <w:p w14:paraId="39802B00">
      <w:pPr>
        <w:spacing w:line="540" w:lineRule="exact"/>
        <w:rPr>
          <w:rFonts w:hint="eastAsia" w:asciiTheme="minorEastAsia" w:hAnsiTheme="minorEastAsia" w:eastAsiaTheme="minorEastAsia" w:cstheme="minorEastAsia"/>
          <w:color w:val="auto"/>
          <w:sz w:val="24"/>
          <w:highlight w:val="none"/>
        </w:rPr>
      </w:pPr>
    </w:p>
    <w:p w14:paraId="7C6822D7">
      <w:pPr>
        <w:spacing w:line="540" w:lineRule="exact"/>
        <w:rPr>
          <w:rFonts w:hint="eastAsia" w:asciiTheme="minorEastAsia" w:hAnsiTheme="minorEastAsia" w:eastAsiaTheme="minorEastAsia" w:cstheme="minorEastAsia"/>
          <w:color w:val="auto"/>
          <w:sz w:val="24"/>
          <w:highlight w:val="none"/>
        </w:rPr>
      </w:pPr>
    </w:p>
    <w:p w14:paraId="4761B163">
      <w:pPr>
        <w:spacing w:line="5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投标单位：（盖章）                </w:t>
      </w:r>
    </w:p>
    <w:p w14:paraId="6B0800BA">
      <w:pPr>
        <w:spacing w:line="5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w:t>
      </w:r>
    </w:p>
    <w:p w14:paraId="0AB116D2">
      <w:pPr>
        <w:spacing w:line="540" w:lineRule="exact"/>
        <w:rPr>
          <w:rFonts w:hint="eastAsia" w:asciiTheme="minorEastAsia" w:hAnsiTheme="minorEastAsia" w:eastAsiaTheme="minorEastAsia" w:cstheme="minorEastAsia"/>
          <w:color w:val="auto"/>
          <w:sz w:val="24"/>
          <w:highlight w:val="none"/>
        </w:rPr>
      </w:pPr>
    </w:p>
    <w:p w14:paraId="0DF74114">
      <w:pPr>
        <w:spacing w:line="5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年   月    日              </w:t>
      </w:r>
    </w:p>
    <w:p w14:paraId="51525AF0">
      <w:pPr>
        <w:spacing w:line="540" w:lineRule="exact"/>
        <w:rPr>
          <w:rFonts w:hint="eastAsia" w:asciiTheme="minorEastAsia" w:hAnsiTheme="minorEastAsia" w:eastAsiaTheme="minorEastAsia" w:cstheme="minorEastAsia"/>
          <w:color w:val="auto"/>
          <w:sz w:val="24"/>
          <w:highlight w:val="none"/>
        </w:rPr>
      </w:pPr>
    </w:p>
    <w:p w14:paraId="27820192">
      <w:pPr>
        <w:spacing w:line="540" w:lineRule="exact"/>
        <w:rPr>
          <w:rFonts w:hint="eastAsia" w:asciiTheme="minorEastAsia" w:hAnsiTheme="minorEastAsia" w:eastAsiaTheme="minorEastAsia" w:cstheme="minorEastAsia"/>
          <w:color w:val="auto"/>
          <w:sz w:val="24"/>
          <w:highlight w:val="none"/>
        </w:rPr>
      </w:pPr>
    </w:p>
    <w:p w14:paraId="68DBA24C">
      <w:pPr>
        <w:spacing w:line="500" w:lineRule="exact"/>
        <w:rPr>
          <w:rFonts w:hint="eastAsia" w:asciiTheme="minorEastAsia" w:hAnsiTheme="minorEastAsia" w:eastAsiaTheme="minorEastAsia" w:cstheme="minorEastAsia"/>
          <w:color w:val="auto"/>
          <w:sz w:val="24"/>
          <w:highlight w:val="none"/>
        </w:rPr>
      </w:pPr>
    </w:p>
    <w:p w14:paraId="7BEC0775">
      <w:pPr>
        <w:spacing w:line="500" w:lineRule="exact"/>
        <w:rPr>
          <w:rFonts w:hint="eastAsia" w:asciiTheme="minorEastAsia" w:hAnsiTheme="minorEastAsia" w:eastAsiaTheme="minorEastAsia" w:cstheme="minorEastAsia"/>
          <w:color w:val="auto"/>
          <w:highlight w:val="none"/>
        </w:rPr>
      </w:pPr>
    </w:p>
    <w:p w14:paraId="1F6D5198">
      <w:pPr>
        <w:spacing w:line="500" w:lineRule="exact"/>
        <w:rPr>
          <w:rFonts w:hint="eastAsia" w:asciiTheme="minorEastAsia" w:hAnsiTheme="minorEastAsia" w:eastAsiaTheme="minorEastAsia" w:cstheme="minorEastAsia"/>
          <w:color w:val="auto"/>
          <w:highlight w:val="none"/>
        </w:rPr>
      </w:pPr>
    </w:p>
    <w:p w14:paraId="0B0A10BE">
      <w:pPr>
        <w:spacing w:line="480" w:lineRule="auto"/>
        <w:rPr>
          <w:rFonts w:hint="eastAsia" w:asciiTheme="minorEastAsia" w:hAnsiTheme="minorEastAsia" w:eastAsiaTheme="minorEastAsia" w:cstheme="minorEastAsia"/>
          <w:b/>
          <w:bCs/>
          <w:color w:val="auto"/>
          <w:sz w:val="36"/>
          <w:szCs w:val="36"/>
          <w:highlight w:val="none"/>
        </w:rPr>
      </w:pPr>
    </w:p>
    <w:p w14:paraId="1FE0C6C0">
      <w:pPr>
        <w:spacing w:line="480" w:lineRule="auto"/>
        <w:jc w:val="center"/>
        <w:outlineLvl w:val="1"/>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br w:type="page"/>
      </w:r>
      <w:r>
        <w:rPr>
          <w:rFonts w:hint="eastAsia" w:asciiTheme="minorEastAsia" w:hAnsiTheme="minorEastAsia" w:eastAsiaTheme="minorEastAsia" w:cstheme="minorEastAsia"/>
          <w:b/>
          <w:bCs/>
          <w:color w:val="auto"/>
          <w:sz w:val="36"/>
          <w:szCs w:val="36"/>
          <w:highlight w:val="none"/>
        </w:rPr>
        <w:t>投标人法定代表人授权书（格式）</w:t>
      </w:r>
    </w:p>
    <w:p w14:paraId="1CC1BCCC">
      <w:pPr>
        <w:spacing w:line="480" w:lineRule="auto"/>
        <w:jc w:val="center"/>
        <w:rPr>
          <w:rFonts w:hint="eastAsia" w:asciiTheme="minorEastAsia" w:hAnsiTheme="minorEastAsia" w:eastAsiaTheme="minorEastAsia" w:cstheme="minorEastAsia"/>
          <w:b/>
          <w:color w:val="auto"/>
          <w:sz w:val="48"/>
          <w:highlight w:val="none"/>
        </w:rPr>
      </w:pPr>
    </w:p>
    <w:p w14:paraId="1CC341D6">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4A0936F7">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7A1B1555">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采购人名称）                </w:t>
      </w:r>
    </w:p>
    <w:p w14:paraId="3219E52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招标代理机构名称）         </w:t>
      </w:r>
      <w:r>
        <w:rPr>
          <w:rFonts w:hint="eastAsia" w:asciiTheme="minorEastAsia" w:hAnsiTheme="minorEastAsia" w:eastAsiaTheme="minorEastAsia" w:cstheme="minorEastAsia"/>
          <w:color w:val="auto"/>
          <w:sz w:val="24"/>
          <w:highlight w:val="none"/>
        </w:rPr>
        <w:t xml:space="preserve">    </w:t>
      </w:r>
    </w:p>
    <w:p w14:paraId="0D0A364D">
      <w:pPr>
        <w:spacing w:line="360" w:lineRule="auto"/>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注册于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（注册地址）的</w:t>
      </w:r>
      <w:r>
        <w:rPr>
          <w:rFonts w:hint="eastAsia" w:asciiTheme="minorEastAsia" w:hAnsiTheme="minorEastAsia" w:eastAsiaTheme="minorEastAsia" w:cstheme="minorEastAsia"/>
          <w:color w:val="auto"/>
          <w:sz w:val="24"/>
          <w:highlight w:val="none"/>
          <w:u w:val="single"/>
        </w:rPr>
        <w:t xml:space="preserve">                                         </w:t>
      </w:r>
    </w:p>
    <w:p w14:paraId="3A221DB4">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（投标人名称），系中华人民共和国合法企业；本人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（授权人姓名）系该公司的法定代表人。现特授权本单位的（被授权人姓名）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为我公司合法代理人，全权代表我公司办理就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项目的投标、谈判、签约等具体工作，并签署全部有关的文件、协议及合同。</w:t>
      </w:r>
    </w:p>
    <w:p w14:paraId="5147982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我公司对被授权人的签名负全部责任。</w:t>
      </w:r>
    </w:p>
    <w:p w14:paraId="4C82E3A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在撤销授权的书面通知以前，本授权书一直有效。被授权人签署的所有文件（在授权书有效期内签署的）不因授权的撤销而失效。被授权人无转委托。特此声明。</w:t>
      </w:r>
    </w:p>
    <w:p w14:paraId="2A9D5AA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被授权人身份证复印件：</w:t>
      </w:r>
    </w:p>
    <w:p w14:paraId="3894E51E">
      <w:pPr>
        <w:spacing w:line="360" w:lineRule="auto"/>
        <w:rPr>
          <w:rFonts w:hint="eastAsia" w:asciiTheme="minorEastAsia" w:hAnsiTheme="minorEastAsia" w:eastAsiaTheme="minorEastAsia" w:cstheme="minorEastAsia"/>
          <w:color w:val="auto"/>
          <w:sz w:val="24"/>
          <w:highlight w:val="none"/>
        </w:rPr>
      </w:pPr>
    </w:p>
    <w:p w14:paraId="61AC5E87">
      <w:pPr>
        <w:spacing w:line="360" w:lineRule="auto"/>
        <w:rPr>
          <w:rFonts w:hint="eastAsia" w:asciiTheme="minorEastAsia" w:hAnsiTheme="minorEastAsia" w:eastAsiaTheme="minorEastAsia" w:cstheme="minorEastAsia"/>
          <w:color w:val="auto"/>
          <w:sz w:val="24"/>
          <w:highlight w:val="none"/>
        </w:rPr>
      </w:pPr>
    </w:p>
    <w:p w14:paraId="3B32E7CC">
      <w:pPr>
        <w:spacing w:line="360" w:lineRule="auto"/>
        <w:rPr>
          <w:rFonts w:hint="eastAsia" w:asciiTheme="minorEastAsia" w:hAnsiTheme="minorEastAsia" w:eastAsiaTheme="minorEastAsia" w:cstheme="minorEastAsia"/>
          <w:color w:val="auto"/>
          <w:sz w:val="24"/>
          <w:highlight w:val="none"/>
        </w:rPr>
      </w:pPr>
    </w:p>
    <w:p w14:paraId="665D250D">
      <w:pPr>
        <w:spacing w:line="360" w:lineRule="auto"/>
        <w:rPr>
          <w:rFonts w:hint="eastAsia" w:asciiTheme="minorEastAsia" w:hAnsiTheme="minorEastAsia" w:eastAsiaTheme="minorEastAsia" w:cstheme="minorEastAsia"/>
          <w:color w:val="auto"/>
          <w:sz w:val="24"/>
          <w:highlight w:val="none"/>
        </w:rPr>
      </w:pPr>
    </w:p>
    <w:p w14:paraId="6235AC1B">
      <w:pPr>
        <w:spacing w:line="8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投标人公章：</w:t>
      </w:r>
    </w:p>
    <w:p w14:paraId="78DBFFA0">
      <w:pPr>
        <w:spacing w:line="80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授权人签名：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职        务：</w:t>
      </w:r>
      <w:r>
        <w:rPr>
          <w:rFonts w:hint="eastAsia" w:asciiTheme="minorEastAsia" w:hAnsiTheme="minorEastAsia" w:eastAsiaTheme="minorEastAsia" w:cstheme="minorEastAsia"/>
          <w:color w:val="auto"/>
          <w:sz w:val="24"/>
          <w:highlight w:val="none"/>
          <w:u w:val="single"/>
        </w:rPr>
        <w:t xml:space="preserve">                </w:t>
      </w:r>
    </w:p>
    <w:p w14:paraId="1894320D">
      <w:pPr>
        <w:spacing w:line="8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CCB9C3B">
      <w:pPr>
        <w:spacing w:line="360" w:lineRule="auto"/>
        <w:rPr>
          <w:rFonts w:hint="eastAsia" w:asciiTheme="minorEastAsia" w:hAnsiTheme="minorEastAsia" w:eastAsiaTheme="minorEastAsia" w:cstheme="minorEastAsia"/>
          <w:color w:val="auto"/>
          <w:sz w:val="24"/>
          <w:highlight w:val="none"/>
        </w:rPr>
      </w:pPr>
    </w:p>
    <w:p w14:paraId="47216F7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注：投标人法定代表人参加投标的，提供法定代表人声明书和身份说明即可。</w:t>
      </w:r>
    </w:p>
    <w:p w14:paraId="6833386D">
      <w:pPr>
        <w:jc w:val="center"/>
        <w:rPr>
          <w:rFonts w:hint="eastAsia" w:asciiTheme="minorEastAsia" w:hAnsiTheme="minorEastAsia" w:eastAsiaTheme="minorEastAsia" w:cstheme="minorEastAsia"/>
          <w:b/>
          <w:color w:val="auto"/>
          <w:sz w:val="24"/>
          <w:highlight w:val="none"/>
        </w:rPr>
      </w:pPr>
    </w:p>
    <w:p w14:paraId="4266078E">
      <w:pPr>
        <w:tabs>
          <w:tab w:val="left" w:pos="432"/>
        </w:tabs>
        <w:rPr>
          <w:rFonts w:hint="eastAsia" w:asciiTheme="minorEastAsia" w:hAnsiTheme="minorEastAsia" w:eastAsiaTheme="minorEastAsia" w:cstheme="minorEastAsia"/>
          <w:b/>
          <w:color w:val="auto"/>
          <w:sz w:val="36"/>
          <w:szCs w:val="36"/>
          <w:highlight w:val="none"/>
        </w:rPr>
      </w:pPr>
    </w:p>
    <w:p w14:paraId="5033CEE8">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0E6D6D6F">
      <w:pPr>
        <w:tabs>
          <w:tab w:val="left" w:pos="432"/>
        </w:tabs>
        <w:jc w:val="center"/>
        <w:outlineLvl w:val="1"/>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供应商承诺书</w:t>
      </w:r>
    </w:p>
    <w:p w14:paraId="75CCF18E">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义乌市苏溪镇中心卫生院</w:t>
      </w:r>
      <w:r>
        <w:rPr>
          <w:rFonts w:hint="eastAsia" w:asciiTheme="minorEastAsia" w:hAnsiTheme="minorEastAsia" w:eastAsiaTheme="minorEastAsia" w:cstheme="minorEastAsia"/>
          <w:color w:val="auto"/>
          <w:sz w:val="24"/>
          <w:highlight w:val="none"/>
        </w:rPr>
        <w:t>：</w:t>
      </w:r>
    </w:p>
    <w:p w14:paraId="20EF9B40">
      <w:pPr>
        <w:spacing w:line="48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我公司根据</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招标文件要求，在采购周期内郑重承诺如下：</w:t>
      </w:r>
    </w:p>
    <w:p w14:paraId="7C12B20F">
      <w:pPr>
        <w:spacing w:line="48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一、我公司保证对在采购周期内的行为（销售、结算、服务等）负责任；</w:t>
      </w:r>
    </w:p>
    <w:p w14:paraId="282060D1">
      <w:pPr>
        <w:spacing w:line="48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二、我公司保证根据招标文件要求和我公司投标文件的承诺，及时向采购单位供货和服务，因拖延供货时间而造成的损失，愿承担所有经济赔偿及法律责任。</w:t>
      </w:r>
      <w:r>
        <w:rPr>
          <w:rFonts w:hint="eastAsia" w:asciiTheme="minorEastAsia" w:hAnsiTheme="minorEastAsia" w:eastAsiaTheme="minorEastAsia" w:cstheme="minorEastAsia"/>
          <w:bCs/>
          <w:color w:val="auto"/>
          <w:sz w:val="24"/>
          <w:highlight w:val="none"/>
        </w:rPr>
        <w:t>如对医疗机构采购需求或服务未</w:t>
      </w:r>
      <w:r>
        <w:rPr>
          <w:rFonts w:hint="eastAsia" w:asciiTheme="minorEastAsia" w:hAnsiTheme="minorEastAsia" w:eastAsiaTheme="minorEastAsia" w:cstheme="minorEastAsia"/>
          <w:bCs/>
          <w:color w:val="auto"/>
          <w:sz w:val="24"/>
          <w:highlight w:val="none"/>
          <w:lang w:eastAsia="zh-CN"/>
        </w:rPr>
        <w:t>做出</w:t>
      </w:r>
      <w:r>
        <w:rPr>
          <w:rFonts w:hint="eastAsia" w:asciiTheme="minorEastAsia" w:hAnsiTheme="minorEastAsia" w:eastAsiaTheme="minorEastAsia" w:cstheme="minorEastAsia"/>
          <w:bCs/>
          <w:color w:val="auto"/>
          <w:sz w:val="24"/>
          <w:highlight w:val="none"/>
        </w:rPr>
        <w:t>及时响应，影响正常运行的，医疗机构有权提出取消我</w:t>
      </w:r>
      <w:bookmarkStart w:id="48" w:name="_GoBack"/>
      <w:bookmarkEnd w:id="48"/>
      <w:r>
        <w:rPr>
          <w:rFonts w:hint="eastAsia" w:asciiTheme="minorEastAsia" w:hAnsiTheme="minorEastAsia" w:eastAsiaTheme="minorEastAsia" w:cstheme="minorEastAsia"/>
          <w:bCs/>
          <w:color w:val="auto"/>
          <w:sz w:val="24"/>
          <w:highlight w:val="none"/>
        </w:rPr>
        <w:t>公司中标资格的申请。经</w:t>
      </w:r>
      <w:r>
        <w:rPr>
          <w:rFonts w:hint="eastAsia" w:asciiTheme="minorEastAsia" w:hAnsiTheme="minorEastAsia" w:eastAsiaTheme="minorEastAsia" w:cstheme="minorEastAsia"/>
          <w:bCs/>
          <w:color w:val="auto"/>
          <w:sz w:val="24"/>
          <w:highlight w:val="none"/>
          <w:lang w:eastAsia="zh-CN"/>
        </w:rPr>
        <w:t>义乌市苏溪镇中心卫生院</w:t>
      </w:r>
      <w:r>
        <w:rPr>
          <w:rFonts w:hint="eastAsia" w:asciiTheme="minorEastAsia" w:hAnsiTheme="minorEastAsia" w:eastAsiaTheme="minorEastAsia" w:cstheme="minorEastAsia"/>
          <w:color w:val="auto"/>
          <w:sz w:val="24"/>
          <w:highlight w:val="none"/>
        </w:rPr>
        <w:t>讨论后</w:t>
      </w:r>
      <w:r>
        <w:rPr>
          <w:rFonts w:hint="eastAsia" w:asciiTheme="minorEastAsia" w:hAnsiTheme="minorEastAsia" w:eastAsiaTheme="minorEastAsia" w:cstheme="minorEastAsia"/>
          <w:bCs/>
          <w:color w:val="auto"/>
          <w:sz w:val="24"/>
          <w:highlight w:val="none"/>
        </w:rPr>
        <w:t>，可由本次未中标且得分最高的供应商取代我单位中标资格（讨论内容以书面形式至浙江开平企业管理咨询有限公司备案）。</w:t>
      </w:r>
    </w:p>
    <w:p w14:paraId="66585EEC">
      <w:pPr>
        <w:spacing w:line="48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三、我公司保证供货产品质量符合国家、省相关标准等，没有假冒伪劣等产品，否则承担法律责任。因产品质量问题造成的损失或引起的医疗纠纷，由我公司全权负责。</w:t>
      </w:r>
    </w:p>
    <w:p w14:paraId="7B3751AC">
      <w:pPr>
        <w:spacing w:line="48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四、我公司在采购周期内，愿意接受贵院的诚信评价考核。</w:t>
      </w:r>
    </w:p>
    <w:p w14:paraId="5DA3C3E7">
      <w:pPr>
        <w:spacing w:line="480" w:lineRule="exact"/>
        <w:ind w:firstLine="540" w:firstLineChars="225"/>
        <w:rPr>
          <w:rFonts w:hint="eastAsia" w:asciiTheme="minorEastAsia" w:hAnsiTheme="minorEastAsia" w:eastAsiaTheme="minorEastAsia" w:cstheme="minorEastAsia"/>
          <w:color w:val="auto"/>
          <w:sz w:val="24"/>
          <w:highlight w:val="none"/>
        </w:rPr>
      </w:pPr>
    </w:p>
    <w:p w14:paraId="6490561A">
      <w:pPr>
        <w:spacing w:line="48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本承诺书自我公司签字或盖章之日起生效。</w:t>
      </w:r>
    </w:p>
    <w:p w14:paraId="0EE7C0B9">
      <w:pPr>
        <w:spacing w:line="480" w:lineRule="exact"/>
        <w:rPr>
          <w:rFonts w:hint="eastAsia" w:asciiTheme="minorEastAsia" w:hAnsiTheme="minorEastAsia" w:eastAsiaTheme="minorEastAsia" w:cstheme="minorEastAsia"/>
          <w:color w:val="auto"/>
          <w:sz w:val="24"/>
          <w:highlight w:val="none"/>
        </w:rPr>
      </w:pPr>
    </w:p>
    <w:p w14:paraId="6F6D7CE9">
      <w:pPr>
        <w:spacing w:line="480" w:lineRule="exact"/>
        <w:rPr>
          <w:rFonts w:hint="eastAsia" w:asciiTheme="minorEastAsia" w:hAnsiTheme="minorEastAsia" w:eastAsiaTheme="minorEastAsia" w:cstheme="minorEastAsia"/>
          <w:color w:val="auto"/>
          <w:sz w:val="24"/>
          <w:highlight w:val="none"/>
        </w:rPr>
      </w:pPr>
    </w:p>
    <w:p w14:paraId="452F671B">
      <w:pPr>
        <w:spacing w:line="480" w:lineRule="exact"/>
        <w:rPr>
          <w:rFonts w:hint="eastAsia" w:asciiTheme="minorEastAsia" w:hAnsiTheme="minorEastAsia" w:eastAsiaTheme="minorEastAsia" w:cstheme="minorEastAsia"/>
          <w:color w:val="auto"/>
          <w:sz w:val="24"/>
          <w:highlight w:val="none"/>
        </w:rPr>
      </w:pPr>
    </w:p>
    <w:p w14:paraId="7142D21C">
      <w:pPr>
        <w:spacing w:line="480" w:lineRule="exact"/>
        <w:ind w:firstLine="540" w:firstLineChars="225"/>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投标人名称（盖章）：</w:t>
      </w:r>
    </w:p>
    <w:p w14:paraId="7647AAAC">
      <w:pPr>
        <w:spacing w:line="480" w:lineRule="exact"/>
        <w:ind w:firstLine="540" w:firstLineChars="225"/>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法定代表人或被授权人（签字或盖章）：</w:t>
      </w:r>
    </w:p>
    <w:p w14:paraId="0F6939E7">
      <w:pPr>
        <w:spacing w:line="480" w:lineRule="exact"/>
        <w:ind w:firstLine="540" w:firstLineChars="225"/>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p>
    <w:p w14:paraId="756FB2BF">
      <w:pPr>
        <w:spacing w:line="48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p>
    <w:p w14:paraId="4A70C8A4">
      <w:pPr>
        <w:spacing w:line="480" w:lineRule="exact"/>
        <w:ind w:right="105"/>
        <w:rPr>
          <w:rFonts w:hint="eastAsia" w:asciiTheme="minorEastAsia" w:hAnsiTheme="minorEastAsia" w:eastAsiaTheme="minorEastAsia" w:cstheme="minorEastAsia"/>
          <w:color w:val="auto"/>
          <w:sz w:val="24"/>
          <w:highlight w:val="none"/>
        </w:rPr>
      </w:pPr>
    </w:p>
    <w:p w14:paraId="31E8BC5B">
      <w:pPr>
        <w:snapToGrid w:val="0"/>
        <w:spacing w:before="50" w:after="120" w:afterLines="50"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076CF320">
      <w:pPr>
        <w:tabs>
          <w:tab w:val="left" w:pos="432"/>
        </w:tabs>
        <w:jc w:val="center"/>
        <w:rPr>
          <w:rFonts w:hint="eastAsia" w:asciiTheme="minorEastAsia" w:hAnsiTheme="minorEastAsia" w:eastAsiaTheme="minorEastAsia" w:cstheme="minorEastAsia"/>
          <w:b/>
          <w:color w:val="auto"/>
          <w:sz w:val="36"/>
          <w:szCs w:val="36"/>
          <w:highlight w:val="none"/>
        </w:rPr>
      </w:pPr>
    </w:p>
    <w:p w14:paraId="4B5F0E17">
      <w:pPr>
        <w:tabs>
          <w:tab w:val="left" w:pos="432"/>
        </w:tabs>
        <w:jc w:val="center"/>
        <w:rPr>
          <w:rFonts w:hint="eastAsia" w:asciiTheme="minorEastAsia" w:hAnsiTheme="minorEastAsia" w:eastAsiaTheme="minorEastAsia" w:cstheme="minorEastAsia"/>
          <w:b/>
          <w:color w:val="auto"/>
          <w:sz w:val="36"/>
          <w:szCs w:val="36"/>
          <w:highlight w:val="none"/>
        </w:rPr>
      </w:pPr>
    </w:p>
    <w:p w14:paraId="6BE2AFC9">
      <w:pPr>
        <w:tabs>
          <w:tab w:val="left" w:pos="432"/>
        </w:tabs>
        <w:jc w:val="center"/>
        <w:rPr>
          <w:rFonts w:hint="eastAsia" w:asciiTheme="minorEastAsia" w:hAnsiTheme="minorEastAsia" w:eastAsiaTheme="minorEastAsia" w:cstheme="minorEastAsia"/>
          <w:b/>
          <w:color w:val="auto"/>
          <w:sz w:val="36"/>
          <w:szCs w:val="36"/>
          <w:highlight w:val="none"/>
        </w:rPr>
      </w:pPr>
    </w:p>
    <w:p w14:paraId="3B921DDC">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53AD781A">
      <w:pPr>
        <w:tabs>
          <w:tab w:val="left" w:pos="432"/>
        </w:tabs>
        <w:jc w:val="center"/>
        <w:outlineLvl w:val="1"/>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质量保证书</w:t>
      </w:r>
    </w:p>
    <w:p w14:paraId="22ECD2DA">
      <w:pPr>
        <w:adjustRightInd w:val="0"/>
        <w:snapToGrid w:val="0"/>
        <w:rPr>
          <w:rFonts w:hint="eastAsia" w:asciiTheme="minorEastAsia" w:hAnsiTheme="minorEastAsia" w:eastAsiaTheme="minorEastAsia" w:cstheme="minorEastAsia"/>
          <w:bCs/>
          <w:snapToGrid w:val="0"/>
          <w:color w:val="auto"/>
          <w:kern w:val="0"/>
          <w:sz w:val="24"/>
          <w:highlight w:val="none"/>
        </w:rPr>
      </w:pPr>
    </w:p>
    <w:p w14:paraId="18304348">
      <w:pPr>
        <w:adjustRightInd w:val="0"/>
        <w:snapToGrid w:val="0"/>
        <w:spacing w:line="480" w:lineRule="exact"/>
        <w:jc w:val="left"/>
        <w:rPr>
          <w:rFonts w:hint="eastAsia" w:asciiTheme="minorEastAsia" w:hAnsiTheme="minorEastAsia" w:eastAsiaTheme="minorEastAsia" w:cstheme="minorEastAsia"/>
          <w:bCs/>
          <w:snapToGrid w:val="0"/>
          <w:color w:val="auto"/>
          <w:kern w:val="0"/>
          <w:sz w:val="24"/>
          <w:highlight w:val="none"/>
          <w:lang w:eastAsia="zh-CN"/>
        </w:rPr>
      </w:pPr>
      <w:r>
        <w:rPr>
          <w:rFonts w:hint="eastAsia" w:asciiTheme="minorEastAsia" w:hAnsiTheme="minorEastAsia" w:eastAsiaTheme="minorEastAsia" w:cstheme="minorEastAsia"/>
          <w:bCs/>
          <w:snapToGrid w:val="0"/>
          <w:color w:val="auto"/>
          <w:kern w:val="0"/>
          <w:sz w:val="24"/>
          <w:highlight w:val="none"/>
        </w:rPr>
        <w:t>致：</w:t>
      </w:r>
      <w:r>
        <w:rPr>
          <w:rFonts w:hint="eastAsia" w:asciiTheme="minorEastAsia" w:hAnsiTheme="minorEastAsia" w:eastAsiaTheme="minorEastAsia" w:cstheme="minorEastAsia"/>
          <w:color w:val="auto"/>
          <w:sz w:val="24"/>
          <w:highlight w:val="none"/>
          <w:lang w:eastAsia="zh-CN"/>
        </w:rPr>
        <w:t>义乌市苏溪镇中心卫生院</w:t>
      </w:r>
    </w:p>
    <w:p w14:paraId="33B5CC7F">
      <w:pPr>
        <w:spacing w:line="48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kern w:val="0"/>
          <w:sz w:val="24"/>
          <w:highlight w:val="none"/>
        </w:rPr>
        <w:t>作为</w:t>
      </w:r>
      <w:r>
        <w:rPr>
          <w:rFonts w:hint="eastAsia" w:asciiTheme="minorEastAsia" w:hAnsiTheme="minorEastAsia" w:eastAsiaTheme="minorEastAsia" w:cstheme="minorEastAsia"/>
          <w:color w:val="auto"/>
          <w:sz w:val="24"/>
          <w:highlight w:val="none"/>
        </w:rPr>
        <w:t>采购项目的</w:t>
      </w:r>
      <w:r>
        <w:rPr>
          <w:rFonts w:hint="eastAsia" w:asciiTheme="minorEastAsia" w:hAnsiTheme="minorEastAsia" w:eastAsiaTheme="minorEastAsia" w:cstheme="minorEastAsia"/>
          <w:color w:val="auto"/>
          <w:sz w:val="24"/>
          <w:highlight w:val="none"/>
          <w:u w:val="single"/>
        </w:rPr>
        <w:t xml:space="preserve"> （标项名称）</w:t>
      </w:r>
      <w:r>
        <w:rPr>
          <w:rFonts w:hint="eastAsia" w:asciiTheme="minorEastAsia" w:hAnsiTheme="minorEastAsia" w:eastAsiaTheme="minorEastAsia" w:cstheme="minorEastAsia"/>
          <w:color w:val="auto"/>
          <w:sz w:val="24"/>
          <w:highlight w:val="none"/>
        </w:rPr>
        <w:t>中标人</w:t>
      </w:r>
      <w:r>
        <w:rPr>
          <w:rFonts w:hint="eastAsia" w:asciiTheme="minorEastAsia" w:hAnsiTheme="minorEastAsia" w:eastAsiaTheme="minorEastAsia" w:cstheme="minorEastAsia"/>
          <w:bCs/>
          <w:snapToGrid w:val="0"/>
          <w:color w:val="auto"/>
          <w:kern w:val="0"/>
          <w:sz w:val="24"/>
          <w:highlight w:val="none"/>
        </w:rPr>
        <w:t>，我公司在此保证：</w:t>
      </w:r>
    </w:p>
    <w:p w14:paraId="1D1CF914">
      <w:pPr>
        <w:spacing w:line="48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 （项目名称）     招标文件（项目编号：</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的规定，我公司所供的产品，符合国家、省相关标准。在采购周期内，保证向采购单位提供充足的货源，及时供货并提供全面、完善的服务。如有违反，愿依法承担违约责任。我公司保证出具的质量及货源保证书真实、合法，并愿承担一切法律责任。</w:t>
      </w:r>
    </w:p>
    <w:p w14:paraId="04BE08B1">
      <w:pPr>
        <w:spacing w:line="48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本保证书有效期限自采购周期开始之日起生效。在采购周期内，上级主管部门另有规定的，则另行处理。</w:t>
      </w:r>
    </w:p>
    <w:p w14:paraId="67FF4B61">
      <w:pPr>
        <w:spacing w:line="480" w:lineRule="exact"/>
        <w:ind w:firstLine="480" w:firstLineChars="200"/>
        <w:rPr>
          <w:rFonts w:hint="eastAsia" w:asciiTheme="minorEastAsia" w:hAnsiTheme="minorEastAsia" w:eastAsiaTheme="minorEastAsia" w:cstheme="minorEastAsia"/>
          <w:color w:val="auto"/>
          <w:sz w:val="24"/>
          <w:highlight w:val="none"/>
        </w:rPr>
      </w:pPr>
    </w:p>
    <w:p w14:paraId="5E896361">
      <w:pPr>
        <w:spacing w:line="480" w:lineRule="exact"/>
        <w:ind w:firstLine="480" w:firstLineChars="200"/>
        <w:rPr>
          <w:rFonts w:hint="eastAsia" w:asciiTheme="minorEastAsia" w:hAnsiTheme="minorEastAsia" w:eastAsiaTheme="minorEastAsia" w:cstheme="minorEastAsia"/>
          <w:bCs/>
          <w:snapToGrid w:val="0"/>
          <w:color w:val="auto"/>
          <w:kern w:val="0"/>
          <w:sz w:val="24"/>
          <w:highlight w:val="none"/>
          <w:u w:val="single"/>
        </w:rPr>
      </w:pPr>
      <w:r>
        <w:rPr>
          <w:rFonts w:hint="eastAsia" w:asciiTheme="minorEastAsia" w:hAnsiTheme="minorEastAsia" w:eastAsiaTheme="minorEastAsia" w:cstheme="minorEastAsia"/>
          <w:bCs/>
          <w:snapToGrid w:val="0"/>
          <w:color w:val="auto"/>
          <w:kern w:val="0"/>
          <w:sz w:val="24"/>
          <w:highlight w:val="none"/>
        </w:rPr>
        <w:t>投标人名称（盖章）：</w:t>
      </w:r>
    </w:p>
    <w:p w14:paraId="1CFCEF74">
      <w:pPr>
        <w:spacing w:line="480" w:lineRule="exact"/>
        <w:ind w:firstLine="480" w:firstLineChars="200"/>
        <w:rPr>
          <w:rFonts w:hint="eastAsia" w:asciiTheme="minorEastAsia" w:hAnsiTheme="minorEastAsia" w:eastAsiaTheme="minorEastAsia" w:cstheme="minorEastAsia"/>
          <w:color w:val="auto"/>
          <w:sz w:val="24"/>
          <w:highlight w:val="none"/>
        </w:rPr>
      </w:pPr>
    </w:p>
    <w:p w14:paraId="177EF6DB">
      <w:pPr>
        <w:spacing w:line="480" w:lineRule="exact"/>
        <w:ind w:firstLine="480" w:firstLineChars="200"/>
        <w:rPr>
          <w:rFonts w:hint="eastAsia" w:asciiTheme="minorEastAsia" w:hAnsiTheme="minorEastAsia" w:eastAsiaTheme="minorEastAsia" w:cstheme="minorEastAsia"/>
          <w:bCs/>
          <w:snapToGrid w:val="0"/>
          <w:color w:val="auto"/>
          <w:kern w:val="0"/>
          <w:sz w:val="24"/>
          <w:highlight w:val="none"/>
          <w:u w:val="single"/>
        </w:rPr>
      </w:pPr>
      <w:r>
        <w:rPr>
          <w:rFonts w:hint="eastAsia" w:asciiTheme="minorEastAsia" w:hAnsiTheme="minorEastAsia" w:eastAsiaTheme="minorEastAsia" w:cstheme="minorEastAsia"/>
          <w:color w:val="auto"/>
          <w:sz w:val="24"/>
          <w:highlight w:val="none"/>
        </w:rPr>
        <w:t>法定代表人或被授权人</w:t>
      </w:r>
      <w:r>
        <w:rPr>
          <w:rFonts w:hint="eastAsia" w:asciiTheme="minorEastAsia" w:hAnsiTheme="minorEastAsia" w:eastAsiaTheme="minorEastAsia" w:cstheme="minorEastAsia"/>
          <w:bCs/>
          <w:snapToGrid w:val="0"/>
          <w:color w:val="auto"/>
          <w:kern w:val="0"/>
          <w:sz w:val="24"/>
          <w:highlight w:val="none"/>
        </w:rPr>
        <w:t>（签字或盖章）：</w:t>
      </w:r>
    </w:p>
    <w:p w14:paraId="1AA83F5D">
      <w:pPr>
        <w:spacing w:line="480" w:lineRule="exact"/>
        <w:ind w:firstLine="468" w:firstLineChars="195"/>
        <w:rPr>
          <w:rFonts w:hint="eastAsia" w:asciiTheme="minorEastAsia" w:hAnsiTheme="minorEastAsia" w:eastAsiaTheme="minorEastAsia" w:cstheme="minorEastAsia"/>
          <w:color w:val="auto"/>
          <w:sz w:val="24"/>
          <w:highlight w:val="none"/>
        </w:rPr>
      </w:pPr>
    </w:p>
    <w:p w14:paraId="50DE5758">
      <w:pPr>
        <w:spacing w:line="480" w:lineRule="exact"/>
        <w:ind w:firstLine="468" w:firstLineChars="195"/>
        <w:jc w:val="righ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6280FD84">
      <w:pPr>
        <w:ind w:right="-516" w:rightChars="-246"/>
        <w:rPr>
          <w:rFonts w:hint="eastAsia" w:asciiTheme="minorEastAsia" w:hAnsiTheme="minorEastAsia" w:eastAsiaTheme="minorEastAsia" w:cstheme="minorEastAsia"/>
          <w:b/>
          <w:bCs/>
          <w:snapToGrid w:val="0"/>
          <w:color w:val="auto"/>
          <w:spacing w:val="2"/>
          <w:kern w:val="0"/>
          <w:sz w:val="24"/>
          <w:highlight w:val="none"/>
        </w:rPr>
      </w:pPr>
      <w:r>
        <w:rPr>
          <w:rFonts w:hint="eastAsia" w:asciiTheme="minorEastAsia" w:hAnsiTheme="minorEastAsia" w:eastAsiaTheme="minorEastAsia" w:cstheme="minorEastAsia"/>
          <w:bCs/>
          <w:color w:val="auto"/>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1315720</wp:posOffset>
                </wp:positionH>
                <wp:positionV relativeFrom="paragraph">
                  <wp:posOffset>180340</wp:posOffset>
                </wp:positionV>
                <wp:extent cx="3108960" cy="2151380"/>
                <wp:effectExtent l="5080" t="4445" r="10160" b="15875"/>
                <wp:wrapNone/>
                <wp:docPr id="3" name="矩形 3"/>
                <wp:cNvGraphicFramePr/>
                <a:graphic xmlns:a="http://schemas.openxmlformats.org/drawingml/2006/main">
                  <a:graphicData uri="http://schemas.microsoft.com/office/word/2010/wordprocessingShape">
                    <wps:wsp>
                      <wps:cNvSpPr/>
                      <wps:spPr>
                        <a:xfrm>
                          <a:off x="0" y="0"/>
                          <a:ext cx="3108960" cy="2151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F9705D">
                            <w:pPr>
                              <w:rPr>
                                <w:rFonts w:eastAsia="华文中宋"/>
                                <w:b/>
                                <w:sz w:val="28"/>
                              </w:rPr>
                            </w:pPr>
                          </w:p>
                          <w:p w14:paraId="62129C00">
                            <w:pPr>
                              <w:pStyle w:val="232"/>
                              <w:widowControl w:val="0"/>
                              <w:spacing w:before="0" w:beforeAutospacing="0" w:after="0" w:afterAutospacing="0" w:line="480" w:lineRule="auto"/>
                              <w:rPr>
                                <w:rFonts w:hint="default" w:ascii="宋体" w:eastAsia="宋体"/>
                                <w:sz w:val="24"/>
                                <w:szCs w:val="24"/>
                              </w:rPr>
                            </w:pPr>
                            <w:r>
                              <w:rPr>
                                <w:rFonts w:ascii="宋体" w:eastAsia="宋体"/>
                                <w:sz w:val="24"/>
                                <w:szCs w:val="24"/>
                              </w:rPr>
                              <w:t>法定代表人或被授权人</w:t>
                            </w:r>
                          </w:p>
                          <w:p w14:paraId="72B307CB">
                            <w:pPr>
                              <w:pStyle w:val="232"/>
                              <w:widowControl w:val="0"/>
                              <w:spacing w:before="0" w:beforeAutospacing="0" w:after="0" w:afterAutospacing="0" w:line="480" w:lineRule="auto"/>
                              <w:rPr>
                                <w:rFonts w:hint="default" w:ascii="宋体" w:eastAsia="宋体"/>
                                <w:bCs w:val="0"/>
                                <w:kern w:val="2"/>
                                <w:sz w:val="24"/>
                                <w:szCs w:val="24"/>
                              </w:rPr>
                            </w:pPr>
                            <w:r>
                              <w:rPr>
                                <w:rFonts w:ascii="宋体" w:eastAsia="宋体"/>
                                <w:bCs w:val="0"/>
                                <w:kern w:val="2"/>
                                <w:sz w:val="24"/>
                                <w:szCs w:val="24"/>
                              </w:rPr>
                              <w:t>居民身份证复印件粘贴处</w:t>
                            </w:r>
                          </w:p>
                          <w:p w14:paraId="610E1DF5">
                            <w:pPr>
                              <w:pStyle w:val="232"/>
                              <w:widowControl w:val="0"/>
                              <w:spacing w:before="0" w:beforeAutospacing="0" w:after="0" w:afterAutospacing="0" w:line="480" w:lineRule="auto"/>
                              <w:rPr>
                                <w:rFonts w:hint="default" w:ascii="宋体" w:eastAsia="宋体"/>
                                <w:bCs w:val="0"/>
                                <w:kern w:val="2"/>
                                <w:sz w:val="24"/>
                                <w:szCs w:val="24"/>
                              </w:rPr>
                            </w:pPr>
                            <w:r>
                              <w:rPr>
                                <w:rFonts w:ascii="宋体" w:eastAsia="宋体"/>
                                <w:bCs w:val="0"/>
                                <w:kern w:val="2"/>
                                <w:sz w:val="24"/>
                                <w:szCs w:val="24"/>
                              </w:rPr>
                              <w:t>（请在骑缝处加盖被投标人公章）</w:t>
                            </w:r>
                          </w:p>
                          <w:p w14:paraId="437597C3">
                            <w:pPr>
                              <w:pStyle w:val="232"/>
                              <w:widowControl w:val="0"/>
                              <w:spacing w:before="0" w:beforeAutospacing="0" w:after="0" w:afterAutospacing="0"/>
                              <w:rPr>
                                <w:rFonts w:hint="default"/>
                                <w:kern w:val="2"/>
                              </w:rPr>
                            </w:pPr>
                          </w:p>
                        </w:txbxContent>
                      </wps:txbx>
                      <wps:bodyPr upright="1"/>
                    </wps:wsp>
                  </a:graphicData>
                </a:graphic>
              </wp:anchor>
            </w:drawing>
          </mc:Choice>
          <mc:Fallback>
            <w:pict>
              <v:rect id="_x0000_s1026" o:spid="_x0000_s1026" o:spt="1" style="position:absolute;left:0pt;margin-left:103.6pt;margin-top:14.2pt;height:169.4pt;width:244.8pt;z-index:251659264;mso-width-relative:page;mso-height-relative:page;" fillcolor="#FFFFFF" filled="t" stroked="t" coordsize="21600,21600" o:gfxdata="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7ndY9gAAAAKAQAADwAAAAAAAAABACAAAAAi&#10;AAAAZHJzL2Rvd25yZXYueG1sUEsBAhQAFAAAAAgAh07iQN9I20sKAgAAOAQAAA4AAAAAAAAAAQAg&#10;AAAAJwEAAGRycy9lMm9Eb2MueG1sUEsFBgAAAAAGAAYAWQEAAKMFAAAAAA==&#10;">
                <v:fill on="t" focussize="0,0"/>
                <v:stroke color="#000000" joinstyle="miter"/>
                <v:imagedata o:title=""/>
                <o:lock v:ext="edit" aspectratio="f"/>
                <v:textbox>
                  <w:txbxContent>
                    <w:p w14:paraId="3FF9705D">
                      <w:pPr>
                        <w:rPr>
                          <w:rFonts w:eastAsia="华文中宋"/>
                          <w:b/>
                          <w:sz w:val="28"/>
                        </w:rPr>
                      </w:pPr>
                    </w:p>
                    <w:p w14:paraId="62129C00">
                      <w:pPr>
                        <w:pStyle w:val="232"/>
                        <w:widowControl w:val="0"/>
                        <w:spacing w:before="0" w:beforeAutospacing="0" w:after="0" w:afterAutospacing="0" w:line="480" w:lineRule="auto"/>
                        <w:rPr>
                          <w:rFonts w:hint="default" w:ascii="宋体" w:eastAsia="宋体"/>
                          <w:sz w:val="24"/>
                          <w:szCs w:val="24"/>
                        </w:rPr>
                      </w:pPr>
                      <w:r>
                        <w:rPr>
                          <w:rFonts w:ascii="宋体" w:eastAsia="宋体"/>
                          <w:sz w:val="24"/>
                          <w:szCs w:val="24"/>
                        </w:rPr>
                        <w:t>法定代表人或被授权人</w:t>
                      </w:r>
                    </w:p>
                    <w:p w14:paraId="72B307CB">
                      <w:pPr>
                        <w:pStyle w:val="232"/>
                        <w:widowControl w:val="0"/>
                        <w:spacing w:before="0" w:beforeAutospacing="0" w:after="0" w:afterAutospacing="0" w:line="480" w:lineRule="auto"/>
                        <w:rPr>
                          <w:rFonts w:hint="default" w:ascii="宋体" w:eastAsia="宋体"/>
                          <w:bCs w:val="0"/>
                          <w:kern w:val="2"/>
                          <w:sz w:val="24"/>
                          <w:szCs w:val="24"/>
                        </w:rPr>
                      </w:pPr>
                      <w:r>
                        <w:rPr>
                          <w:rFonts w:ascii="宋体" w:eastAsia="宋体"/>
                          <w:bCs w:val="0"/>
                          <w:kern w:val="2"/>
                          <w:sz w:val="24"/>
                          <w:szCs w:val="24"/>
                        </w:rPr>
                        <w:t>居民身份证复印件粘贴处</w:t>
                      </w:r>
                    </w:p>
                    <w:p w14:paraId="610E1DF5">
                      <w:pPr>
                        <w:pStyle w:val="232"/>
                        <w:widowControl w:val="0"/>
                        <w:spacing w:before="0" w:beforeAutospacing="0" w:after="0" w:afterAutospacing="0" w:line="480" w:lineRule="auto"/>
                        <w:rPr>
                          <w:rFonts w:hint="default" w:ascii="宋体" w:eastAsia="宋体"/>
                          <w:bCs w:val="0"/>
                          <w:kern w:val="2"/>
                          <w:sz w:val="24"/>
                          <w:szCs w:val="24"/>
                        </w:rPr>
                      </w:pPr>
                      <w:r>
                        <w:rPr>
                          <w:rFonts w:ascii="宋体" w:eastAsia="宋体"/>
                          <w:bCs w:val="0"/>
                          <w:kern w:val="2"/>
                          <w:sz w:val="24"/>
                          <w:szCs w:val="24"/>
                        </w:rPr>
                        <w:t>（请在骑缝处加盖被投标人公章）</w:t>
                      </w:r>
                    </w:p>
                    <w:p w14:paraId="437597C3">
                      <w:pPr>
                        <w:pStyle w:val="232"/>
                        <w:widowControl w:val="0"/>
                        <w:spacing w:before="0" w:beforeAutospacing="0" w:after="0" w:afterAutospacing="0"/>
                        <w:rPr>
                          <w:rFonts w:hint="default"/>
                          <w:kern w:val="2"/>
                        </w:rPr>
                      </w:pPr>
                    </w:p>
                  </w:txbxContent>
                </v:textbox>
              </v:rect>
            </w:pict>
          </mc:Fallback>
        </mc:AlternateContent>
      </w:r>
    </w:p>
    <w:p w14:paraId="31C9DCAF">
      <w:pPr>
        <w:ind w:right="-516" w:rightChars="-246"/>
        <w:rPr>
          <w:rFonts w:hint="eastAsia" w:asciiTheme="minorEastAsia" w:hAnsiTheme="minorEastAsia" w:eastAsiaTheme="minorEastAsia" w:cstheme="minorEastAsia"/>
          <w:b/>
          <w:bCs/>
          <w:snapToGrid w:val="0"/>
          <w:color w:val="auto"/>
          <w:spacing w:val="2"/>
          <w:kern w:val="0"/>
          <w:sz w:val="36"/>
          <w:szCs w:val="36"/>
          <w:highlight w:val="none"/>
        </w:rPr>
      </w:pPr>
    </w:p>
    <w:p w14:paraId="0BAC1C44">
      <w:pPr>
        <w:ind w:right="-516" w:rightChars="-246"/>
        <w:rPr>
          <w:rFonts w:hint="eastAsia" w:asciiTheme="minorEastAsia" w:hAnsiTheme="minorEastAsia" w:eastAsiaTheme="minorEastAsia" w:cstheme="minorEastAsia"/>
          <w:b/>
          <w:bCs/>
          <w:snapToGrid w:val="0"/>
          <w:color w:val="auto"/>
          <w:spacing w:val="2"/>
          <w:kern w:val="0"/>
          <w:sz w:val="36"/>
          <w:szCs w:val="36"/>
          <w:highlight w:val="none"/>
        </w:rPr>
      </w:pPr>
    </w:p>
    <w:p w14:paraId="5F0CEE4D">
      <w:pPr>
        <w:ind w:right="-516" w:rightChars="-246"/>
        <w:rPr>
          <w:rFonts w:hint="eastAsia" w:asciiTheme="minorEastAsia" w:hAnsiTheme="minorEastAsia" w:eastAsiaTheme="minorEastAsia" w:cstheme="minorEastAsia"/>
          <w:b/>
          <w:bCs/>
          <w:snapToGrid w:val="0"/>
          <w:color w:val="auto"/>
          <w:spacing w:val="2"/>
          <w:kern w:val="0"/>
          <w:sz w:val="36"/>
          <w:szCs w:val="36"/>
          <w:highlight w:val="none"/>
        </w:rPr>
      </w:pPr>
    </w:p>
    <w:p w14:paraId="56CFB297">
      <w:pPr>
        <w:ind w:right="-516" w:rightChars="-246"/>
        <w:rPr>
          <w:rFonts w:hint="eastAsia" w:asciiTheme="minorEastAsia" w:hAnsiTheme="minorEastAsia" w:eastAsiaTheme="minorEastAsia" w:cstheme="minorEastAsia"/>
          <w:b/>
          <w:bCs/>
          <w:snapToGrid w:val="0"/>
          <w:color w:val="auto"/>
          <w:spacing w:val="2"/>
          <w:kern w:val="0"/>
          <w:sz w:val="36"/>
          <w:szCs w:val="36"/>
          <w:highlight w:val="none"/>
        </w:rPr>
      </w:pPr>
    </w:p>
    <w:p w14:paraId="3ACB4713">
      <w:pPr>
        <w:tabs>
          <w:tab w:val="left" w:pos="432"/>
        </w:tabs>
        <w:spacing w:line="480" w:lineRule="exact"/>
        <w:rPr>
          <w:rFonts w:hint="eastAsia" w:asciiTheme="minorEastAsia" w:hAnsiTheme="minorEastAsia" w:eastAsiaTheme="minorEastAsia" w:cstheme="minorEastAsia"/>
          <w:b/>
          <w:color w:val="auto"/>
          <w:sz w:val="36"/>
          <w:szCs w:val="36"/>
          <w:highlight w:val="none"/>
        </w:rPr>
      </w:pPr>
    </w:p>
    <w:p w14:paraId="3B845C42">
      <w:pPr>
        <w:tabs>
          <w:tab w:val="left" w:pos="432"/>
        </w:tabs>
        <w:spacing w:line="480" w:lineRule="exact"/>
        <w:rPr>
          <w:rFonts w:hint="eastAsia" w:asciiTheme="minorEastAsia" w:hAnsiTheme="minorEastAsia" w:eastAsiaTheme="minorEastAsia" w:cstheme="minorEastAsia"/>
          <w:b/>
          <w:color w:val="auto"/>
          <w:sz w:val="36"/>
          <w:szCs w:val="36"/>
          <w:highlight w:val="none"/>
        </w:rPr>
      </w:pPr>
    </w:p>
    <w:p w14:paraId="25F6CC68">
      <w:pPr>
        <w:tabs>
          <w:tab w:val="left" w:pos="432"/>
        </w:tabs>
        <w:spacing w:line="480" w:lineRule="exact"/>
        <w:rPr>
          <w:rFonts w:hint="eastAsia" w:asciiTheme="minorEastAsia" w:hAnsiTheme="minorEastAsia" w:eastAsiaTheme="minorEastAsia" w:cstheme="minorEastAsia"/>
          <w:b/>
          <w:color w:val="auto"/>
          <w:sz w:val="36"/>
          <w:szCs w:val="36"/>
          <w:highlight w:val="none"/>
        </w:rPr>
      </w:pPr>
    </w:p>
    <w:p w14:paraId="26372F25">
      <w:pPr>
        <w:tabs>
          <w:tab w:val="left" w:pos="432"/>
        </w:tabs>
        <w:spacing w:line="480" w:lineRule="exact"/>
        <w:rPr>
          <w:rFonts w:hint="eastAsia" w:asciiTheme="minorEastAsia" w:hAnsiTheme="minorEastAsia" w:eastAsiaTheme="minorEastAsia" w:cstheme="minorEastAsia"/>
          <w:b/>
          <w:color w:val="auto"/>
          <w:sz w:val="36"/>
          <w:szCs w:val="36"/>
          <w:highlight w:val="none"/>
        </w:rPr>
      </w:pPr>
    </w:p>
    <w:p w14:paraId="47B5EA30">
      <w:pPr>
        <w:pStyle w:val="13"/>
        <w:spacing w:line="360" w:lineRule="auto"/>
        <w:jc w:val="right"/>
        <w:rPr>
          <w:rFonts w:hint="eastAsia" w:asciiTheme="minorEastAsia" w:hAnsiTheme="minorEastAsia" w:eastAsiaTheme="minorEastAsia" w:cstheme="minorEastAsia"/>
          <w:b/>
          <w:color w:val="auto"/>
          <w:sz w:val="24"/>
          <w:highlight w:val="none"/>
        </w:rPr>
      </w:pPr>
    </w:p>
    <w:p w14:paraId="140D0D29">
      <w:pPr>
        <w:pStyle w:val="13"/>
        <w:spacing w:line="360" w:lineRule="auto"/>
        <w:jc w:val="right"/>
        <w:rPr>
          <w:rFonts w:hint="eastAsia" w:asciiTheme="minorEastAsia" w:hAnsiTheme="minorEastAsia" w:eastAsiaTheme="minorEastAsia" w:cstheme="minorEastAsia"/>
          <w:b/>
          <w:color w:val="auto"/>
          <w:sz w:val="24"/>
          <w:highlight w:val="none"/>
        </w:rPr>
      </w:pPr>
    </w:p>
    <w:p w14:paraId="0A0A79F8">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351D9390">
      <w:pPr>
        <w:snapToGrid w:val="0"/>
        <w:spacing w:before="50" w:after="50"/>
        <w:jc w:val="center"/>
        <w:outlineLvl w:val="1"/>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开标一览表</w:t>
      </w:r>
    </w:p>
    <w:tbl>
      <w:tblPr>
        <w:tblStyle w:val="27"/>
        <w:tblpPr w:leftFromText="180" w:rightFromText="180" w:vertAnchor="text" w:horzAnchor="page" w:tblpX="900" w:tblpY="915"/>
        <w:tblOverlap w:val="never"/>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705"/>
        <w:gridCol w:w="4830"/>
      </w:tblGrid>
      <w:tr w14:paraId="5AD4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125" w:type="dxa"/>
            <w:noWrap/>
            <w:vAlign w:val="center"/>
          </w:tcPr>
          <w:p w14:paraId="56A20290">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项目名称</w:t>
            </w:r>
          </w:p>
        </w:tc>
        <w:tc>
          <w:tcPr>
            <w:tcW w:w="2705" w:type="dxa"/>
            <w:noWrap/>
            <w:vAlign w:val="center"/>
          </w:tcPr>
          <w:p w14:paraId="735280E7">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投标结算率</w:t>
            </w:r>
          </w:p>
        </w:tc>
        <w:tc>
          <w:tcPr>
            <w:tcW w:w="4830" w:type="dxa"/>
            <w:noWrap/>
            <w:vAlign w:val="center"/>
          </w:tcPr>
          <w:p w14:paraId="016BE7C3">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14:paraId="6A0E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2125" w:type="dxa"/>
            <w:noWrap/>
            <w:vAlign w:val="center"/>
          </w:tcPr>
          <w:p w14:paraId="6C6AB3B0">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义乌市苏溪镇中心卫生院</w:t>
            </w:r>
            <w:r>
              <w:rPr>
                <w:rFonts w:hint="eastAsia" w:asciiTheme="minorEastAsia" w:hAnsiTheme="minorEastAsia" w:eastAsiaTheme="minorEastAsia" w:cstheme="minorEastAsia"/>
                <w:color w:val="auto"/>
                <w:sz w:val="24"/>
                <w:highlight w:val="none"/>
              </w:rPr>
              <w:t>中药配方颗粒</w:t>
            </w:r>
          </w:p>
        </w:tc>
        <w:tc>
          <w:tcPr>
            <w:tcW w:w="2705" w:type="dxa"/>
            <w:noWrap/>
            <w:vAlign w:val="center"/>
          </w:tcPr>
          <w:p w14:paraId="1A105DA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z w:val="24"/>
                <w:szCs w:val="24"/>
                <w:highlight w:val="none"/>
              </w:rPr>
              <w:t>投标</w:t>
            </w:r>
            <w:r>
              <w:rPr>
                <w:rFonts w:hint="eastAsia" w:asciiTheme="minorEastAsia" w:hAnsiTheme="minorEastAsia" w:eastAsiaTheme="minorEastAsia" w:cstheme="minorEastAsia"/>
                <w:sz w:val="24"/>
                <w:szCs w:val="24"/>
                <w:highlight w:val="none"/>
                <w:lang w:eastAsia="zh-CN"/>
              </w:rPr>
              <w:t>结算</w:t>
            </w:r>
            <w:r>
              <w:rPr>
                <w:rFonts w:hint="eastAsia" w:asciiTheme="minorEastAsia" w:hAnsiTheme="minorEastAsia" w:eastAsiaTheme="minorEastAsia" w:cstheme="minorEastAsia"/>
                <w:sz w:val="24"/>
                <w:szCs w:val="24"/>
                <w:highlight w:val="none"/>
              </w:rPr>
              <w:t>率为</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p>
        </w:tc>
        <w:tc>
          <w:tcPr>
            <w:tcW w:w="4830" w:type="dxa"/>
            <w:noWrap/>
            <w:vAlign w:val="center"/>
          </w:tcPr>
          <w:p w14:paraId="4D1A62C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sz w:val="24"/>
                <w:szCs w:val="24"/>
                <w:highlight w:val="none"/>
              </w:rPr>
              <w:t>浙江省中药饮片产业协会最新发布的杭州市中药配方颗粒建议零售价为基础</w:t>
            </w:r>
          </w:p>
        </w:tc>
      </w:tr>
    </w:tbl>
    <w:p w14:paraId="1D149CB3">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2179FA86">
      <w:pPr>
        <w:snapToGrid w:val="0"/>
        <w:spacing w:line="360" w:lineRule="auto"/>
        <w:ind w:left="-2" w:leftChars="-1" w:right="-816" w:rightChars="-38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采购编号：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4A4A73F">
      <w:pPr>
        <w:spacing w:line="400" w:lineRule="exact"/>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093F5C9E">
      <w:pPr>
        <w:pStyle w:val="13"/>
        <w:spacing w:line="46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1.</w:t>
      </w:r>
      <w:r>
        <w:rPr>
          <w:rFonts w:hint="eastAsia" w:asciiTheme="minorEastAsia" w:hAnsiTheme="minorEastAsia" w:eastAsiaTheme="minorEastAsia" w:cstheme="minorEastAsia"/>
          <w:bCs/>
          <w:color w:val="auto"/>
          <w:sz w:val="24"/>
          <w:szCs w:val="24"/>
          <w:highlight w:val="none"/>
        </w:rPr>
        <w:t>投标人应根据国家的有关规定和实际情况并结合企业的实际情况进行投标报价。投标报价为投标人所能承受的最低、最终一次性报价。</w:t>
      </w:r>
    </w:p>
    <w:p w14:paraId="2B071D9B">
      <w:pPr>
        <w:pStyle w:val="13"/>
        <w:spacing w:line="460" w:lineRule="exact"/>
        <w:ind w:left="240" w:hanging="240" w:hangingChars="1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2.</w:t>
      </w:r>
      <w:r>
        <w:rPr>
          <w:rFonts w:hint="eastAsia" w:asciiTheme="minorEastAsia" w:hAnsiTheme="minorEastAsia" w:eastAsiaTheme="minorEastAsia" w:cstheme="minorEastAsia"/>
          <w:bCs/>
          <w:color w:val="auto"/>
          <w:sz w:val="24"/>
          <w:szCs w:val="24"/>
          <w:highlight w:val="none"/>
        </w:rPr>
        <w:t>此表在不改变表式内容的情况下，可自行制作。</w:t>
      </w:r>
    </w:p>
    <w:p w14:paraId="08C832D7">
      <w:pPr>
        <w:widowControl/>
        <w:jc w:val="left"/>
        <w:rPr>
          <w:rFonts w:hint="eastAsia" w:asciiTheme="minorEastAsia" w:hAnsiTheme="minorEastAsia" w:eastAsiaTheme="minorEastAsia" w:cstheme="minorEastAsia"/>
          <w:b/>
          <w:color w:val="auto"/>
          <w:sz w:val="30"/>
          <w:szCs w:val="30"/>
          <w:highlight w:val="none"/>
        </w:rPr>
      </w:pPr>
    </w:p>
    <w:p w14:paraId="0E69564D">
      <w:pPr>
        <w:widowControl/>
        <w:jc w:val="left"/>
        <w:rPr>
          <w:rFonts w:hint="eastAsia" w:asciiTheme="minorEastAsia" w:hAnsiTheme="minorEastAsia" w:eastAsiaTheme="minorEastAsia" w:cstheme="minorEastAsia"/>
          <w:b/>
          <w:color w:val="auto"/>
          <w:sz w:val="30"/>
          <w:szCs w:val="30"/>
          <w:highlight w:val="none"/>
        </w:rPr>
      </w:pPr>
    </w:p>
    <w:p w14:paraId="75838EF4">
      <w:pPr>
        <w:widowControl/>
        <w:jc w:val="left"/>
        <w:rPr>
          <w:rFonts w:hint="eastAsia" w:asciiTheme="minorEastAsia" w:hAnsiTheme="minorEastAsia" w:eastAsiaTheme="minorEastAsia" w:cstheme="minorEastAsia"/>
          <w:b/>
          <w:color w:val="auto"/>
          <w:sz w:val="30"/>
          <w:szCs w:val="30"/>
          <w:highlight w:val="none"/>
        </w:rPr>
      </w:pPr>
    </w:p>
    <w:p w14:paraId="63668485">
      <w:pPr>
        <w:widowControl/>
        <w:jc w:val="left"/>
        <w:rPr>
          <w:rFonts w:hint="eastAsia" w:asciiTheme="minorEastAsia" w:hAnsiTheme="minorEastAsia" w:eastAsiaTheme="minorEastAsia" w:cstheme="minorEastAsia"/>
          <w:b/>
          <w:color w:val="auto"/>
          <w:sz w:val="30"/>
          <w:szCs w:val="30"/>
          <w:highlight w:val="none"/>
        </w:rPr>
      </w:pPr>
    </w:p>
    <w:p w14:paraId="7C3ABDDE">
      <w:pPr>
        <w:widowControl/>
        <w:jc w:val="left"/>
        <w:rPr>
          <w:rFonts w:hint="eastAsia" w:asciiTheme="minorEastAsia" w:hAnsiTheme="minorEastAsia" w:eastAsiaTheme="minorEastAsia" w:cstheme="minorEastAsia"/>
          <w:b/>
          <w:color w:val="auto"/>
          <w:sz w:val="30"/>
          <w:szCs w:val="30"/>
          <w:highlight w:val="none"/>
        </w:rPr>
      </w:pPr>
    </w:p>
    <w:p w14:paraId="3D36E3C0">
      <w:pPr>
        <w:widowControl/>
        <w:jc w:val="left"/>
        <w:rPr>
          <w:rFonts w:hint="eastAsia" w:asciiTheme="minorEastAsia" w:hAnsiTheme="minorEastAsia" w:eastAsiaTheme="minorEastAsia" w:cstheme="minorEastAsia"/>
          <w:b/>
          <w:color w:val="auto"/>
          <w:sz w:val="30"/>
          <w:szCs w:val="30"/>
          <w:highlight w:val="none"/>
        </w:rPr>
      </w:pPr>
    </w:p>
    <w:p w14:paraId="7DB65302">
      <w:pPr>
        <w:widowControl/>
        <w:jc w:val="left"/>
        <w:rPr>
          <w:rFonts w:hint="eastAsia" w:asciiTheme="minorEastAsia" w:hAnsiTheme="minorEastAsia" w:eastAsiaTheme="minorEastAsia" w:cstheme="minorEastAsia"/>
          <w:b/>
          <w:color w:val="auto"/>
          <w:sz w:val="30"/>
          <w:szCs w:val="30"/>
          <w:highlight w:val="none"/>
        </w:rPr>
      </w:pPr>
    </w:p>
    <w:p w14:paraId="3EB0BE9C">
      <w:pPr>
        <w:widowControl/>
        <w:jc w:val="left"/>
        <w:rPr>
          <w:rFonts w:hint="eastAsia" w:asciiTheme="minorEastAsia" w:hAnsiTheme="minorEastAsia" w:eastAsiaTheme="minorEastAsia" w:cstheme="minorEastAsia"/>
          <w:b/>
          <w:color w:val="auto"/>
          <w:sz w:val="30"/>
          <w:szCs w:val="30"/>
          <w:highlight w:val="none"/>
        </w:rPr>
      </w:pPr>
    </w:p>
    <w:p w14:paraId="40402DE6">
      <w:pPr>
        <w:widowControl/>
        <w:jc w:val="left"/>
        <w:rPr>
          <w:rFonts w:hint="eastAsia" w:asciiTheme="minorEastAsia" w:hAnsiTheme="minorEastAsia" w:eastAsiaTheme="minorEastAsia" w:cstheme="minorEastAsia"/>
          <w:b/>
          <w:color w:val="auto"/>
          <w:sz w:val="30"/>
          <w:szCs w:val="30"/>
          <w:highlight w:val="none"/>
        </w:rPr>
      </w:pPr>
    </w:p>
    <w:p w14:paraId="22095CF4">
      <w:pPr>
        <w:pStyle w:val="7"/>
        <w:rPr>
          <w:rFonts w:hint="eastAsia" w:asciiTheme="minorEastAsia" w:hAnsiTheme="minorEastAsia" w:eastAsiaTheme="minorEastAsia" w:cstheme="minorEastAsia"/>
          <w:b/>
          <w:color w:val="auto"/>
          <w:sz w:val="30"/>
          <w:szCs w:val="30"/>
          <w:highlight w:val="none"/>
        </w:rPr>
      </w:pPr>
    </w:p>
    <w:p w14:paraId="456CA381">
      <w:pPr>
        <w:pStyle w:val="6"/>
        <w:rPr>
          <w:rFonts w:hint="eastAsia" w:asciiTheme="minorEastAsia" w:hAnsiTheme="minorEastAsia" w:eastAsiaTheme="minorEastAsia" w:cstheme="minorEastAsia"/>
          <w:b/>
          <w:color w:val="auto"/>
          <w:sz w:val="30"/>
          <w:szCs w:val="30"/>
          <w:highlight w:val="none"/>
        </w:rPr>
      </w:pPr>
    </w:p>
    <w:p w14:paraId="5BF5D907">
      <w:pPr>
        <w:pStyle w:val="7"/>
        <w:rPr>
          <w:rFonts w:hint="eastAsia" w:asciiTheme="minorEastAsia" w:hAnsiTheme="minorEastAsia" w:eastAsiaTheme="minorEastAsia" w:cstheme="minorEastAsia"/>
          <w:b/>
          <w:color w:val="auto"/>
          <w:sz w:val="30"/>
          <w:szCs w:val="30"/>
          <w:highlight w:val="none"/>
        </w:rPr>
      </w:pPr>
    </w:p>
    <w:p w14:paraId="1803925C">
      <w:pPr>
        <w:pStyle w:val="6"/>
        <w:rPr>
          <w:rFonts w:hint="eastAsia" w:asciiTheme="minorEastAsia" w:hAnsiTheme="minorEastAsia" w:eastAsiaTheme="minorEastAsia" w:cstheme="minorEastAsia"/>
          <w:color w:val="auto"/>
          <w:highlight w:val="none"/>
        </w:rPr>
      </w:pPr>
    </w:p>
    <w:p w14:paraId="20034699">
      <w:pPr>
        <w:widowControl/>
        <w:jc w:val="left"/>
        <w:rPr>
          <w:rFonts w:hint="eastAsia" w:asciiTheme="minorEastAsia" w:hAnsiTheme="minorEastAsia" w:eastAsiaTheme="minorEastAsia" w:cstheme="minorEastAsia"/>
          <w:b/>
          <w:color w:val="auto"/>
          <w:sz w:val="30"/>
          <w:szCs w:val="30"/>
          <w:highlight w:val="none"/>
        </w:rPr>
      </w:pPr>
    </w:p>
    <w:p w14:paraId="1819C50D">
      <w:pPr>
        <w:widowControl/>
        <w:jc w:val="left"/>
        <w:outlineLvl w:val="1"/>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7F4F05E9">
      <w:pPr>
        <w:ind w:firstLine="723"/>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快递邮寄面单格式</w:t>
      </w:r>
    </w:p>
    <w:p w14:paraId="64ECFD96">
      <w:pPr>
        <w:pStyle w:val="25"/>
        <w:ind w:firstLine="300"/>
        <w:rPr>
          <w:rFonts w:hint="eastAsia" w:asciiTheme="minorEastAsia" w:hAnsiTheme="minorEastAsia" w:eastAsiaTheme="minorEastAsia" w:cstheme="minorEastAsia"/>
          <w:color w:val="auto"/>
          <w:sz w:val="30"/>
          <w:szCs w:val="30"/>
          <w:highlight w:val="none"/>
        </w:rPr>
      </w:pPr>
    </w:p>
    <w:p w14:paraId="232FE43A">
      <w:pPr>
        <w:pStyle w:val="25"/>
        <w:ind w:firstLine="3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寄件人： XXX </w:t>
      </w:r>
    </w:p>
    <w:p w14:paraId="2D5EA262">
      <w:pPr>
        <w:pStyle w:val="25"/>
        <w:ind w:firstLine="3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手机：XXXXXXXXXXX</w:t>
      </w:r>
    </w:p>
    <w:p w14:paraId="6A1126FC">
      <w:pPr>
        <w:pStyle w:val="25"/>
        <w:ind w:firstLine="3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寄件单位：（不得填写，快递外壳不得显示投标人名称）</w:t>
      </w:r>
    </w:p>
    <w:p w14:paraId="4E535B9E">
      <w:pPr>
        <w:pStyle w:val="25"/>
        <w:ind w:firstLine="3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寄件地址：XXXXXXXXXXXXX</w:t>
      </w:r>
    </w:p>
    <w:p w14:paraId="4F5EAD38">
      <w:pPr>
        <w:pStyle w:val="25"/>
        <w:ind w:firstLine="300"/>
        <w:rPr>
          <w:rFonts w:hint="eastAsia" w:asciiTheme="minorEastAsia" w:hAnsiTheme="minorEastAsia" w:eastAsiaTheme="minorEastAsia" w:cstheme="minorEastAsia"/>
          <w:color w:val="auto"/>
          <w:sz w:val="30"/>
          <w:szCs w:val="30"/>
          <w:highlight w:val="none"/>
        </w:rPr>
      </w:pPr>
    </w:p>
    <w:p w14:paraId="5E01F081">
      <w:pPr>
        <w:pStyle w:val="25"/>
        <w:ind w:firstLine="3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收件人：赵棋明</w:t>
      </w:r>
    </w:p>
    <w:p w14:paraId="6C5AED9D">
      <w:pPr>
        <w:pStyle w:val="25"/>
        <w:ind w:firstLine="3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rPr>
        <w:t>手机：</w:t>
      </w:r>
      <w:r>
        <w:rPr>
          <w:rFonts w:hint="eastAsia" w:asciiTheme="minorEastAsia" w:hAnsiTheme="minorEastAsia" w:eastAsiaTheme="minorEastAsia" w:cstheme="minorEastAsia"/>
          <w:color w:val="auto"/>
          <w:sz w:val="30"/>
          <w:szCs w:val="30"/>
          <w:highlight w:val="none"/>
          <w:lang w:val="en-US" w:eastAsia="zh-CN"/>
        </w:rPr>
        <w:t>0579-85328516</w:t>
      </w:r>
    </w:p>
    <w:p w14:paraId="16D426E3">
      <w:pPr>
        <w:pStyle w:val="25"/>
        <w:ind w:firstLine="3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收件单位：浙江开平企业管理咨询有限公司</w:t>
      </w:r>
    </w:p>
    <w:p w14:paraId="17A0D4A5">
      <w:pPr>
        <w:pStyle w:val="25"/>
        <w:ind w:firstLine="3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收件地址：义乌市雪峰西路968号科创园科技大楼B区4楼</w:t>
      </w:r>
    </w:p>
    <w:p w14:paraId="65FA0E6A">
      <w:pPr>
        <w:pStyle w:val="25"/>
        <w:ind w:firstLine="300"/>
        <w:rPr>
          <w:rFonts w:hint="eastAsia" w:asciiTheme="minorEastAsia" w:hAnsiTheme="minorEastAsia" w:eastAsiaTheme="minorEastAsia" w:cstheme="minorEastAsia"/>
          <w:color w:val="auto"/>
          <w:sz w:val="30"/>
          <w:szCs w:val="30"/>
          <w:highlight w:val="none"/>
        </w:rPr>
      </w:pPr>
    </w:p>
    <w:p w14:paraId="3F0F82E3">
      <w:pPr>
        <w:pStyle w:val="25"/>
        <w:ind w:firstLine="3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备注：义乌市XXXX项目投标，请送至收件人亲收</w:t>
      </w:r>
    </w:p>
    <w:p w14:paraId="7DBC68EF">
      <w:pPr>
        <w:ind w:firstLine="400"/>
        <w:rPr>
          <w:rFonts w:hint="eastAsia" w:asciiTheme="minorEastAsia" w:hAnsiTheme="minorEastAsia" w:eastAsiaTheme="minorEastAsia" w:cstheme="minorEastAsia"/>
          <w:color w:val="auto"/>
          <w:highlight w:val="none"/>
        </w:rPr>
      </w:pPr>
    </w:p>
    <w:p w14:paraId="49DD7703">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anchor distT="0" distB="0" distL="114300" distR="114300" simplePos="0" relativeHeight="251660288" behindDoc="0" locked="0" layoutInCell="1" allowOverlap="1">
            <wp:simplePos x="0" y="0"/>
            <wp:positionH relativeFrom="page">
              <wp:posOffset>3810</wp:posOffset>
            </wp:positionH>
            <wp:positionV relativeFrom="page">
              <wp:posOffset>-3736975</wp:posOffset>
            </wp:positionV>
            <wp:extent cx="6286500" cy="3981450"/>
            <wp:effectExtent l="0" t="0" r="0" b="0"/>
            <wp:wrapNone/>
            <wp:docPr id="2" name="Picture 4" descr="SCX-3200_20130924_1657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SCX-3200_20130924_16570602"/>
                    <pic:cNvPicPr>
                      <a:picLocks noChangeAspect="1" noChangeArrowheads="1"/>
                    </pic:cNvPicPr>
                  </pic:nvPicPr>
                  <pic:blipFill>
                    <a:blip r:embed="rId8" cstate="print"/>
                    <a:srcRect/>
                    <a:stretch>
                      <a:fillRect/>
                    </a:stretch>
                  </pic:blipFill>
                  <pic:spPr>
                    <a:xfrm>
                      <a:off x="0" y="0"/>
                      <a:ext cx="6286500" cy="3981450"/>
                    </a:xfrm>
                    <a:prstGeom prst="rect">
                      <a:avLst/>
                    </a:prstGeom>
                    <a:noFill/>
                    <a:ln w="9525">
                      <a:noFill/>
                      <a:miter lim="800000"/>
                      <a:headEnd/>
                      <a:tailEnd/>
                    </a:ln>
                  </pic:spPr>
                </pic:pic>
              </a:graphicData>
            </a:graphic>
          </wp:anchor>
        </w:drawing>
      </w:r>
    </w:p>
    <w:p w14:paraId="62F6CB1B">
      <w:pPr>
        <w:rPr>
          <w:rFonts w:hint="eastAsia" w:asciiTheme="minorEastAsia" w:hAnsiTheme="minorEastAsia" w:eastAsiaTheme="minorEastAsia" w:cstheme="minorEastAsia"/>
          <w:color w:val="auto"/>
          <w:highlight w:val="none"/>
        </w:rPr>
      </w:pPr>
    </w:p>
    <w:sectPr>
      <w:pgSz w:w="11906" w:h="16838"/>
      <w:pgMar w:top="1134" w:right="1134" w:bottom="1134" w:left="1418"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zjaf">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Noto Sans Mono CJK JP Regular">
    <w:altName w:val="新宋体"/>
    <w:panose1 w:val="00000000000000000000"/>
    <w:charset w:val="00"/>
    <w:family w:val="swiss"/>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4F9C2767">
    <w:panose1 w:val="020B0503020204020204"/>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48D4D">
    <w:pPr>
      <w:pBdr>
        <w:top w:val="single" w:color="auto" w:sz="4" w:space="0"/>
      </w:pBdr>
      <w:tabs>
        <w:tab w:val="left" w:pos="5942"/>
      </w:tabs>
      <w:jc w:val="distribute"/>
      <w:rPr>
        <w:rFonts w:eastAsiaTheme="minorEastAsia"/>
        <w:sz w:val="18"/>
        <w:szCs w:val="18"/>
      </w:rPr>
    </w:pP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3E12B">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43E12B">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sz w:val="18"/>
        <w:szCs w:val="18"/>
      </w:rPr>
      <w:t xml:space="preserve">公平 公正 公开    </w:t>
    </w:r>
    <w:r>
      <w:rPr>
        <w:rFonts w:hint="eastAsia"/>
        <w:sz w:val="18"/>
        <w:szCs w:val="18"/>
      </w:rPr>
      <w:tab/>
    </w:r>
    <w:r>
      <w:rPr>
        <w:rFonts w:hint="eastAsia"/>
        <w:sz w:val="18"/>
        <w:szCs w:val="18"/>
      </w:rPr>
      <w:t xml:space="preserve">      浙江开平企业管理咨询有限公司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70C5">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6C89">
    <w:pPr>
      <w:pStyle w:val="18"/>
      <w:pBdr>
        <w:bottom w:val="none" w:color="auto" w:sz="0" w:space="1"/>
      </w:pBdr>
      <w:tabs>
        <w:tab w:val="left" w:pos="1118"/>
      </w:tabs>
      <w:jc w:val="left"/>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382ED">
    <w:pPr>
      <w:pStyle w:val="18"/>
      <w:pBdr>
        <w:bottom w:val="thinThickSmallGap" w:color="auto" w:sz="12" w:space="1"/>
      </w:pBdr>
      <w:jc w:val="distribute"/>
      <w:rPr>
        <w:rFonts w:hint="eastAsia" w:eastAsiaTheme="minorEastAsia"/>
        <w:lang w:eastAsia="zh-CN"/>
      </w:rPr>
    </w:pPr>
    <w:r>
      <w:rPr>
        <w:rFonts w:hint="eastAsia"/>
        <w:lang w:eastAsia="zh-CN"/>
      </w:rPr>
      <w:t>义乌市苏溪镇中心卫生院</w:t>
    </w:r>
    <w:r>
      <w:rPr>
        <w:rFonts w:hint="eastAsia"/>
      </w:rPr>
      <w:t>中药配方颗粒</w:t>
    </w:r>
    <w:r>
      <w:rPr>
        <w:rFonts w:hint="eastAsia"/>
        <w:bCs/>
      </w:rPr>
      <w:t>采购</w:t>
    </w:r>
    <w:r>
      <w:rPr>
        <w:rFonts w:hint="eastAsia"/>
      </w:rPr>
      <w:t xml:space="preserve">     </w:t>
    </w:r>
    <w:r>
      <w:rPr>
        <w:rFonts w:hint="eastAsia"/>
        <w:lang w:val="en-US" w:eastAsia="zh-CN"/>
      </w:rPr>
      <w:t xml:space="preserve">       </w:t>
    </w:r>
    <w:r>
      <w:rPr>
        <w:rFonts w:hint="eastAsia"/>
      </w:rPr>
      <w:t xml:space="preserve">       采购编号：</w:t>
    </w:r>
    <w:r>
      <w:rPr>
        <w:rFonts w:hint="eastAsia"/>
        <w:lang w:eastAsia="zh-CN"/>
      </w:rPr>
      <w:t>ZJKP2026YW117G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3B8D4"/>
    <w:multiLevelType w:val="singleLevel"/>
    <w:tmpl w:val="A7A3B8D4"/>
    <w:lvl w:ilvl="0" w:tentative="0">
      <w:start w:val="1"/>
      <w:numFmt w:val="decimal"/>
      <w:suff w:val="nothing"/>
      <w:lvlText w:val="（%1）"/>
      <w:lvlJc w:val="left"/>
      <w:pPr>
        <w:ind w:left="0" w:firstLine="420"/>
      </w:pPr>
      <w:rPr>
        <w:rFonts w:hint="default"/>
      </w:rPr>
    </w:lvl>
  </w:abstractNum>
  <w:abstractNum w:abstractNumId="1">
    <w:nsid w:val="010F4CD1"/>
    <w:multiLevelType w:val="multilevel"/>
    <w:tmpl w:val="010F4CD1"/>
    <w:lvl w:ilvl="0" w:tentative="0">
      <w:start w:val="4"/>
      <w:numFmt w:val="japaneseCounting"/>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E6F5226"/>
    <w:multiLevelType w:val="singleLevel"/>
    <w:tmpl w:val="4E6F5226"/>
    <w:lvl w:ilvl="0" w:tentative="0">
      <w:start w:val="1"/>
      <w:numFmt w:val="decimal"/>
      <w:suff w:val="nothing"/>
      <w:lvlText w:val="3.%1"/>
      <w:lvlJc w:val="left"/>
      <w:pPr>
        <w:ind w:left="0" w:firstLine="403"/>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6"/>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ZjY3Zjg3NDgyMjg3Y2UwNDNiY2VkMzY1YWVlMmEifQ=="/>
    <w:docVar w:name="KSO_WPS_MARK_KEY" w:val="a46fadfc-febe-4108-a092-c9576590a95f"/>
  </w:docVars>
  <w:rsids>
    <w:rsidRoot w:val="00A232AD"/>
    <w:rsid w:val="00044697"/>
    <w:rsid w:val="000574F9"/>
    <w:rsid w:val="000701B9"/>
    <w:rsid w:val="000A0C9C"/>
    <w:rsid w:val="000E0E69"/>
    <w:rsid w:val="00183698"/>
    <w:rsid w:val="001B314A"/>
    <w:rsid w:val="001D749C"/>
    <w:rsid w:val="001F0265"/>
    <w:rsid w:val="00204E92"/>
    <w:rsid w:val="0024024E"/>
    <w:rsid w:val="0028139A"/>
    <w:rsid w:val="003344C5"/>
    <w:rsid w:val="004747BD"/>
    <w:rsid w:val="004822E7"/>
    <w:rsid w:val="00527FD1"/>
    <w:rsid w:val="0060010E"/>
    <w:rsid w:val="006021FA"/>
    <w:rsid w:val="00610D2B"/>
    <w:rsid w:val="0067184F"/>
    <w:rsid w:val="00696E07"/>
    <w:rsid w:val="007433EB"/>
    <w:rsid w:val="00763495"/>
    <w:rsid w:val="00783E03"/>
    <w:rsid w:val="007A1FD3"/>
    <w:rsid w:val="007B0341"/>
    <w:rsid w:val="007B11E7"/>
    <w:rsid w:val="007B58AD"/>
    <w:rsid w:val="00802BFC"/>
    <w:rsid w:val="00854552"/>
    <w:rsid w:val="0093775B"/>
    <w:rsid w:val="00955BF1"/>
    <w:rsid w:val="00965E39"/>
    <w:rsid w:val="009D2AD1"/>
    <w:rsid w:val="00A07682"/>
    <w:rsid w:val="00A215FB"/>
    <w:rsid w:val="00A232AD"/>
    <w:rsid w:val="00A326EF"/>
    <w:rsid w:val="00A3340A"/>
    <w:rsid w:val="00A6266B"/>
    <w:rsid w:val="00A95B20"/>
    <w:rsid w:val="00AB30B3"/>
    <w:rsid w:val="00AE3A38"/>
    <w:rsid w:val="00B47544"/>
    <w:rsid w:val="00B6565C"/>
    <w:rsid w:val="00BB1C1C"/>
    <w:rsid w:val="00BB1FBE"/>
    <w:rsid w:val="00BD6DEC"/>
    <w:rsid w:val="00C04F7F"/>
    <w:rsid w:val="00C071BA"/>
    <w:rsid w:val="00C26052"/>
    <w:rsid w:val="00C60A7B"/>
    <w:rsid w:val="00C643C6"/>
    <w:rsid w:val="00CC2BA6"/>
    <w:rsid w:val="00CE3386"/>
    <w:rsid w:val="00D04076"/>
    <w:rsid w:val="00D92403"/>
    <w:rsid w:val="00DB7C5E"/>
    <w:rsid w:val="00E473A5"/>
    <w:rsid w:val="00EA08EE"/>
    <w:rsid w:val="00EB49E8"/>
    <w:rsid w:val="00F36142"/>
    <w:rsid w:val="00F5292D"/>
    <w:rsid w:val="00F652DF"/>
    <w:rsid w:val="00F6541F"/>
    <w:rsid w:val="00FE5C67"/>
    <w:rsid w:val="01810923"/>
    <w:rsid w:val="01AB6558"/>
    <w:rsid w:val="01DD41C2"/>
    <w:rsid w:val="023C3CD4"/>
    <w:rsid w:val="02660FA6"/>
    <w:rsid w:val="02670493"/>
    <w:rsid w:val="02A560BA"/>
    <w:rsid w:val="02FD6CB9"/>
    <w:rsid w:val="03283600"/>
    <w:rsid w:val="032A7756"/>
    <w:rsid w:val="03345AEF"/>
    <w:rsid w:val="036A1A3F"/>
    <w:rsid w:val="03A25A9B"/>
    <w:rsid w:val="04C609C8"/>
    <w:rsid w:val="050020F0"/>
    <w:rsid w:val="052E47BF"/>
    <w:rsid w:val="05D2369C"/>
    <w:rsid w:val="05FF6D42"/>
    <w:rsid w:val="061C008B"/>
    <w:rsid w:val="062F22F2"/>
    <w:rsid w:val="064301F0"/>
    <w:rsid w:val="06B06A14"/>
    <w:rsid w:val="06D1078B"/>
    <w:rsid w:val="073935F1"/>
    <w:rsid w:val="076E2CEA"/>
    <w:rsid w:val="077B59E4"/>
    <w:rsid w:val="08E36AF5"/>
    <w:rsid w:val="092229D2"/>
    <w:rsid w:val="09723DC9"/>
    <w:rsid w:val="09A3577C"/>
    <w:rsid w:val="09E07CC2"/>
    <w:rsid w:val="0AB14794"/>
    <w:rsid w:val="0B2D6722"/>
    <w:rsid w:val="0B3F439D"/>
    <w:rsid w:val="0C966D05"/>
    <w:rsid w:val="0CE7205B"/>
    <w:rsid w:val="0CEF0CF7"/>
    <w:rsid w:val="0CF14659"/>
    <w:rsid w:val="0D254224"/>
    <w:rsid w:val="0D28027D"/>
    <w:rsid w:val="0D534188"/>
    <w:rsid w:val="0D847672"/>
    <w:rsid w:val="0DD26630"/>
    <w:rsid w:val="0E222820"/>
    <w:rsid w:val="0E503BB1"/>
    <w:rsid w:val="0ECA7307"/>
    <w:rsid w:val="0FD74DED"/>
    <w:rsid w:val="10B15314"/>
    <w:rsid w:val="10E41323"/>
    <w:rsid w:val="12156716"/>
    <w:rsid w:val="126C7BAB"/>
    <w:rsid w:val="12741D90"/>
    <w:rsid w:val="135A7CF0"/>
    <w:rsid w:val="136F6EA1"/>
    <w:rsid w:val="13796215"/>
    <w:rsid w:val="13E344F5"/>
    <w:rsid w:val="14284445"/>
    <w:rsid w:val="15070425"/>
    <w:rsid w:val="15526149"/>
    <w:rsid w:val="155A66AD"/>
    <w:rsid w:val="16013E16"/>
    <w:rsid w:val="16464112"/>
    <w:rsid w:val="165B4EA8"/>
    <w:rsid w:val="166C68C1"/>
    <w:rsid w:val="1747726C"/>
    <w:rsid w:val="187A05BF"/>
    <w:rsid w:val="18E535EC"/>
    <w:rsid w:val="18EB5371"/>
    <w:rsid w:val="18FC45D4"/>
    <w:rsid w:val="191C2BC8"/>
    <w:rsid w:val="192B2BC5"/>
    <w:rsid w:val="19C52314"/>
    <w:rsid w:val="19E3799E"/>
    <w:rsid w:val="1A302597"/>
    <w:rsid w:val="1A511840"/>
    <w:rsid w:val="1AAC2302"/>
    <w:rsid w:val="1B226CBF"/>
    <w:rsid w:val="1B3240FF"/>
    <w:rsid w:val="1B3618D2"/>
    <w:rsid w:val="1BA24EA3"/>
    <w:rsid w:val="1BED554A"/>
    <w:rsid w:val="1CD64DB0"/>
    <w:rsid w:val="1DC762F2"/>
    <w:rsid w:val="1DE67874"/>
    <w:rsid w:val="1E953657"/>
    <w:rsid w:val="1FD47E35"/>
    <w:rsid w:val="201A746E"/>
    <w:rsid w:val="201C7DC7"/>
    <w:rsid w:val="21012C84"/>
    <w:rsid w:val="21E31510"/>
    <w:rsid w:val="23950905"/>
    <w:rsid w:val="23CE25F8"/>
    <w:rsid w:val="24AF49DE"/>
    <w:rsid w:val="253B1819"/>
    <w:rsid w:val="255A53AC"/>
    <w:rsid w:val="255D7FB0"/>
    <w:rsid w:val="26A10362"/>
    <w:rsid w:val="26F71427"/>
    <w:rsid w:val="2735343E"/>
    <w:rsid w:val="27D8263D"/>
    <w:rsid w:val="27DC2A52"/>
    <w:rsid w:val="27E234BC"/>
    <w:rsid w:val="28185E93"/>
    <w:rsid w:val="281F5735"/>
    <w:rsid w:val="28AB114C"/>
    <w:rsid w:val="2A335204"/>
    <w:rsid w:val="2AB2467F"/>
    <w:rsid w:val="2B363518"/>
    <w:rsid w:val="2B653DEF"/>
    <w:rsid w:val="2BC52ED8"/>
    <w:rsid w:val="2BCE7FDF"/>
    <w:rsid w:val="2BEF5F67"/>
    <w:rsid w:val="2C1E1264"/>
    <w:rsid w:val="2C9132CB"/>
    <w:rsid w:val="2CB42E07"/>
    <w:rsid w:val="2D9D5B09"/>
    <w:rsid w:val="2DF80615"/>
    <w:rsid w:val="2E0960FC"/>
    <w:rsid w:val="2E125DF0"/>
    <w:rsid w:val="2E221CCA"/>
    <w:rsid w:val="2E3031D3"/>
    <w:rsid w:val="2E3977DC"/>
    <w:rsid w:val="2EC837EE"/>
    <w:rsid w:val="2ED751AD"/>
    <w:rsid w:val="2EEA5CCA"/>
    <w:rsid w:val="2FB34292"/>
    <w:rsid w:val="2FE343B8"/>
    <w:rsid w:val="301914F0"/>
    <w:rsid w:val="305C65F6"/>
    <w:rsid w:val="3117255B"/>
    <w:rsid w:val="31B0044B"/>
    <w:rsid w:val="327C7884"/>
    <w:rsid w:val="32AD4BA8"/>
    <w:rsid w:val="333F5C66"/>
    <w:rsid w:val="33A24715"/>
    <w:rsid w:val="33B75A17"/>
    <w:rsid w:val="33BB57B8"/>
    <w:rsid w:val="33C87A86"/>
    <w:rsid w:val="340F73E6"/>
    <w:rsid w:val="341A43D7"/>
    <w:rsid w:val="353C1038"/>
    <w:rsid w:val="35564C4D"/>
    <w:rsid w:val="355B3890"/>
    <w:rsid w:val="360C695B"/>
    <w:rsid w:val="362528A2"/>
    <w:rsid w:val="36AE738B"/>
    <w:rsid w:val="36F94D00"/>
    <w:rsid w:val="374455F9"/>
    <w:rsid w:val="3906718D"/>
    <w:rsid w:val="393655B4"/>
    <w:rsid w:val="398228B5"/>
    <w:rsid w:val="39F01D73"/>
    <w:rsid w:val="3AD508A9"/>
    <w:rsid w:val="3AE90A43"/>
    <w:rsid w:val="3AF661D5"/>
    <w:rsid w:val="3AF66E81"/>
    <w:rsid w:val="3AFA7404"/>
    <w:rsid w:val="3B0B5906"/>
    <w:rsid w:val="3B492321"/>
    <w:rsid w:val="3B8F07A2"/>
    <w:rsid w:val="3B9B7CC4"/>
    <w:rsid w:val="3BC211E2"/>
    <w:rsid w:val="3BC83460"/>
    <w:rsid w:val="3C875ADD"/>
    <w:rsid w:val="3C936230"/>
    <w:rsid w:val="3CDE6FFD"/>
    <w:rsid w:val="3D057B74"/>
    <w:rsid w:val="3D34747B"/>
    <w:rsid w:val="3D3D71B8"/>
    <w:rsid w:val="3E860BED"/>
    <w:rsid w:val="3EC7649C"/>
    <w:rsid w:val="3F224721"/>
    <w:rsid w:val="3F8655F0"/>
    <w:rsid w:val="40292956"/>
    <w:rsid w:val="413109E3"/>
    <w:rsid w:val="41435CC4"/>
    <w:rsid w:val="418509BA"/>
    <w:rsid w:val="42401411"/>
    <w:rsid w:val="425A6E9B"/>
    <w:rsid w:val="4302083D"/>
    <w:rsid w:val="43583624"/>
    <w:rsid w:val="436C6F10"/>
    <w:rsid w:val="43A11F79"/>
    <w:rsid w:val="442C4FB5"/>
    <w:rsid w:val="446A5E2C"/>
    <w:rsid w:val="44C95A60"/>
    <w:rsid w:val="44EF1C2A"/>
    <w:rsid w:val="45A02594"/>
    <w:rsid w:val="462830A3"/>
    <w:rsid w:val="46492E8A"/>
    <w:rsid w:val="46B502C1"/>
    <w:rsid w:val="46CA2BBC"/>
    <w:rsid w:val="486508D7"/>
    <w:rsid w:val="48A713DC"/>
    <w:rsid w:val="48CC3CD8"/>
    <w:rsid w:val="48EB7FCA"/>
    <w:rsid w:val="491A0CE9"/>
    <w:rsid w:val="496B5D04"/>
    <w:rsid w:val="49755955"/>
    <w:rsid w:val="49962779"/>
    <w:rsid w:val="49BD569B"/>
    <w:rsid w:val="4A441248"/>
    <w:rsid w:val="4B7F52CC"/>
    <w:rsid w:val="4C227E77"/>
    <w:rsid w:val="4CA8581E"/>
    <w:rsid w:val="4CB011C2"/>
    <w:rsid w:val="4D422183"/>
    <w:rsid w:val="4D616AAD"/>
    <w:rsid w:val="4D641427"/>
    <w:rsid w:val="4D712350"/>
    <w:rsid w:val="4D946FE5"/>
    <w:rsid w:val="4E78482F"/>
    <w:rsid w:val="4F1D612A"/>
    <w:rsid w:val="4F4E21FC"/>
    <w:rsid w:val="4F670539"/>
    <w:rsid w:val="502312FC"/>
    <w:rsid w:val="50753735"/>
    <w:rsid w:val="50A662B5"/>
    <w:rsid w:val="50C7131D"/>
    <w:rsid w:val="50F4729C"/>
    <w:rsid w:val="520F2390"/>
    <w:rsid w:val="523F2A5D"/>
    <w:rsid w:val="527D21F6"/>
    <w:rsid w:val="52961561"/>
    <w:rsid w:val="52B80358"/>
    <w:rsid w:val="52C76699"/>
    <w:rsid w:val="53282091"/>
    <w:rsid w:val="53C37F29"/>
    <w:rsid w:val="541B0119"/>
    <w:rsid w:val="542E6140"/>
    <w:rsid w:val="54B64119"/>
    <w:rsid w:val="551B429B"/>
    <w:rsid w:val="5525584D"/>
    <w:rsid w:val="55C510F6"/>
    <w:rsid w:val="55F93D86"/>
    <w:rsid w:val="565B3252"/>
    <w:rsid w:val="56755388"/>
    <w:rsid w:val="567E6E4D"/>
    <w:rsid w:val="568B6949"/>
    <w:rsid w:val="571A4FB9"/>
    <w:rsid w:val="57903CE8"/>
    <w:rsid w:val="57923845"/>
    <w:rsid w:val="57ED1E5C"/>
    <w:rsid w:val="58013F8B"/>
    <w:rsid w:val="583B54B8"/>
    <w:rsid w:val="58792E7D"/>
    <w:rsid w:val="58CD3B33"/>
    <w:rsid w:val="58FC3B2E"/>
    <w:rsid w:val="590412C3"/>
    <w:rsid w:val="590D5382"/>
    <w:rsid w:val="5946212E"/>
    <w:rsid w:val="59967ADE"/>
    <w:rsid w:val="59D16D68"/>
    <w:rsid w:val="5A0B48AE"/>
    <w:rsid w:val="5A43014D"/>
    <w:rsid w:val="5A5D4C96"/>
    <w:rsid w:val="5A7E7FCF"/>
    <w:rsid w:val="5A7F0572"/>
    <w:rsid w:val="5B0B62AA"/>
    <w:rsid w:val="5C4B1F0E"/>
    <w:rsid w:val="5D61376C"/>
    <w:rsid w:val="5D856ADE"/>
    <w:rsid w:val="5DA416DD"/>
    <w:rsid w:val="5E5760D7"/>
    <w:rsid w:val="5F047C1E"/>
    <w:rsid w:val="5FD0793B"/>
    <w:rsid w:val="601156CE"/>
    <w:rsid w:val="60295F38"/>
    <w:rsid w:val="607F6511"/>
    <w:rsid w:val="60D31618"/>
    <w:rsid w:val="6199067A"/>
    <w:rsid w:val="61A11445"/>
    <w:rsid w:val="61EE5FDE"/>
    <w:rsid w:val="6257600C"/>
    <w:rsid w:val="62BE2061"/>
    <w:rsid w:val="639C475D"/>
    <w:rsid w:val="63AD5D96"/>
    <w:rsid w:val="63B2503C"/>
    <w:rsid w:val="63B732AE"/>
    <w:rsid w:val="63FC7559"/>
    <w:rsid w:val="641D69C1"/>
    <w:rsid w:val="64333354"/>
    <w:rsid w:val="659C0D4F"/>
    <w:rsid w:val="65F314C5"/>
    <w:rsid w:val="66091AF6"/>
    <w:rsid w:val="66676F39"/>
    <w:rsid w:val="66F9495D"/>
    <w:rsid w:val="67B04461"/>
    <w:rsid w:val="680A1F74"/>
    <w:rsid w:val="68373F2A"/>
    <w:rsid w:val="684C5C0D"/>
    <w:rsid w:val="6860402D"/>
    <w:rsid w:val="68D34A52"/>
    <w:rsid w:val="68FF2A61"/>
    <w:rsid w:val="690F6BEF"/>
    <w:rsid w:val="6AEC00F9"/>
    <w:rsid w:val="6B593F8B"/>
    <w:rsid w:val="6B897A48"/>
    <w:rsid w:val="6C756A2B"/>
    <w:rsid w:val="6CCE613F"/>
    <w:rsid w:val="6D0A2CBD"/>
    <w:rsid w:val="6E0350CB"/>
    <w:rsid w:val="6E393DD6"/>
    <w:rsid w:val="6EE93347"/>
    <w:rsid w:val="6EEA6B63"/>
    <w:rsid w:val="6F8B7D08"/>
    <w:rsid w:val="70971E04"/>
    <w:rsid w:val="70C366B0"/>
    <w:rsid w:val="70CB012A"/>
    <w:rsid w:val="7128052F"/>
    <w:rsid w:val="71E83BF1"/>
    <w:rsid w:val="722F46B1"/>
    <w:rsid w:val="73B35047"/>
    <w:rsid w:val="74446E99"/>
    <w:rsid w:val="74F62B18"/>
    <w:rsid w:val="75414A53"/>
    <w:rsid w:val="7567397C"/>
    <w:rsid w:val="75872134"/>
    <w:rsid w:val="759805AD"/>
    <w:rsid w:val="759C4277"/>
    <w:rsid w:val="76420F41"/>
    <w:rsid w:val="7693567A"/>
    <w:rsid w:val="77505C1D"/>
    <w:rsid w:val="775F34D3"/>
    <w:rsid w:val="77F53EAD"/>
    <w:rsid w:val="7834579F"/>
    <w:rsid w:val="78A335BE"/>
    <w:rsid w:val="78A36B06"/>
    <w:rsid w:val="78CE039E"/>
    <w:rsid w:val="78D66D25"/>
    <w:rsid w:val="78E43643"/>
    <w:rsid w:val="79065C5A"/>
    <w:rsid w:val="79735A85"/>
    <w:rsid w:val="798E4428"/>
    <w:rsid w:val="7A992B33"/>
    <w:rsid w:val="7AB64086"/>
    <w:rsid w:val="7ABB57E7"/>
    <w:rsid w:val="7B3D3D0F"/>
    <w:rsid w:val="7B717D29"/>
    <w:rsid w:val="7C0B5794"/>
    <w:rsid w:val="7C4C2D58"/>
    <w:rsid w:val="7C895606"/>
    <w:rsid w:val="7C9E3FB9"/>
    <w:rsid w:val="7D3807DC"/>
    <w:rsid w:val="7D786ADC"/>
    <w:rsid w:val="7D8F646F"/>
    <w:rsid w:val="7E9E5F6E"/>
    <w:rsid w:val="7ED81AEA"/>
    <w:rsid w:val="7F1E4F91"/>
    <w:rsid w:val="7F923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120" w:after="120"/>
      <w:jc w:val="left"/>
      <w:outlineLvl w:val="2"/>
    </w:pPr>
    <w:rPr>
      <w:b/>
      <w:bCs/>
      <w:sz w:val="24"/>
      <w:szCs w:val="32"/>
    </w:rPr>
  </w:style>
  <w:style w:type="paragraph" w:styleId="5">
    <w:name w:val="heading 4"/>
    <w:basedOn w:val="1"/>
    <w:next w:val="1"/>
    <w:qFormat/>
    <w:uiPriority w:val="9"/>
    <w:pPr>
      <w:outlineLvl w:val="3"/>
    </w:pPr>
    <w:rPr>
      <w:b/>
      <w:iCs/>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6"/>
    <w:link w:val="73"/>
    <w:qFormat/>
    <w:uiPriority w:val="99"/>
    <w:pPr>
      <w:spacing w:after="120"/>
      <w:ind w:left="420" w:leftChars="200"/>
    </w:pPr>
  </w:style>
  <w:style w:type="paragraph" w:styleId="8">
    <w:name w:val="Document Map"/>
    <w:basedOn w:val="1"/>
    <w:link w:val="71"/>
    <w:semiHidden/>
    <w:qFormat/>
    <w:uiPriority w:val="0"/>
    <w:pPr>
      <w:shd w:val="clear" w:color="auto" w:fill="000080"/>
    </w:pPr>
    <w:rPr>
      <w:sz w:val="24"/>
    </w:rPr>
  </w:style>
  <w:style w:type="paragraph" w:styleId="9">
    <w:name w:val="annotation text"/>
    <w:basedOn w:val="1"/>
    <w:link w:val="70"/>
    <w:qFormat/>
    <w:uiPriority w:val="0"/>
    <w:pPr>
      <w:jc w:val="left"/>
    </w:pPr>
    <w:rPr>
      <w:rFonts w:asciiTheme="minorHAnsi" w:hAnsiTheme="minorHAnsi" w:eastAsiaTheme="minorEastAsia" w:cstheme="minorBidi"/>
      <w:sz w:val="24"/>
    </w:rPr>
  </w:style>
  <w:style w:type="paragraph" w:styleId="10">
    <w:name w:val="Body Text 3"/>
    <w:basedOn w:val="1"/>
    <w:link w:val="67"/>
    <w:qFormat/>
    <w:uiPriority w:val="0"/>
    <w:pPr>
      <w:autoSpaceDE w:val="0"/>
      <w:autoSpaceDN w:val="0"/>
      <w:spacing w:line="360" w:lineRule="auto"/>
    </w:pPr>
    <w:rPr>
      <w:sz w:val="24"/>
      <w:szCs w:val="21"/>
    </w:rPr>
  </w:style>
  <w:style w:type="paragraph" w:styleId="11">
    <w:name w:val="Body Text"/>
    <w:basedOn w:val="1"/>
    <w:next w:val="1"/>
    <w:link w:val="61"/>
    <w:qFormat/>
    <w:uiPriority w:val="0"/>
    <w:rPr>
      <w:sz w:val="24"/>
    </w:rPr>
  </w:style>
  <w:style w:type="paragraph" w:styleId="12">
    <w:name w:val="List 2"/>
    <w:basedOn w:val="1"/>
    <w:qFormat/>
    <w:uiPriority w:val="0"/>
    <w:pPr>
      <w:widowControl/>
      <w:ind w:left="100" w:leftChars="200" w:hanging="200" w:hangingChars="200"/>
    </w:pPr>
    <w:rPr>
      <w:szCs w:val="20"/>
    </w:rPr>
  </w:style>
  <w:style w:type="paragraph" w:styleId="13">
    <w:name w:val="Plain Text"/>
    <w:basedOn w:val="1"/>
    <w:next w:val="1"/>
    <w:link w:val="69"/>
    <w:qFormat/>
    <w:uiPriority w:val="0"/>
    <w:rPr>
      <w:rFonts w:ascii="宋体" w:hAnsi="Courier New" w:eastAsiaTheme="minorEastAsia" w:cstheme="minorBidi"/>
      <w:szCs w:val="22"/>
    </w:rPr>
  </w:style>
  <w:style w:type="paragraph" w:styleId="14">
    <w:name w:val="Date"/>
    <w:basedOn w:val="1"/>
    <w:next w:val="1"/>
    <w:link w:val="77"/>
    <w:qFormat/>
    <w:uiPriority w:val="0"/>
    <w:pPr>
      <w:ind w:left="100" w:leftChars="2500"/>
    </w:pPr>
    <w:rPr>
      <w:sz w:val="24"/>
    </w:rPr>
  </w:style>
  <w:style w:type="paragraph" w:styleId="15">
    <w:name w:val="Body Text Indent 2"/>
    <w:basedOn w:val="1"/>
    <w:link w:val="72"/>
    <w:qFormat/>
    <w:uiPriority w:val="0"/>
    <w:pPr>
      <w:spacing w:after="120" w:line="480" w:lineRule="auto"/>
      <w:ind w:left="420" w:leftChars="200"/>
    </w:pPr>
  </w:style>
  <w:style w:type="paragraph" w:styleId="16">
    <w:name w:val="Balloon Text"/>
    <w:basedOn w:val="1"/>
    <w:link w:val="75"/>
    <w:qFormat/>
    <w:uiPriority w:val="0"/>
    <w:rPr>
      <w:rFonts w:asciiTheme="minorHAnsi" w:hAnsiTheme="minorHAnsi" w:eastAsiaTheme="minorEastAsia" w:cstheme="minorBidi"/>
      <w:sz w:val="18"/>
      <w:szCs w:val="18"/>
    </w:rPr>
  </w:style>
  <w:style w:type="paragraph" w:styleId="17">
    <w:name w:val="footer"/>
    <w:basedOn w:val="1"/>
    <w:next w:val="1"/>
    <w:link w:val="74"/>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8">
    <w:name w:val="header"/>
    <w:basedOn w:val="1"/>
    <w:link w:val="76"/>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toc 1"/>
    <w:basedOn w:val="1"/>
    <w:next w:val="1"/>
    <w:semiHidden/>
    <w:qFormat/>
    <w:uiPriority w:val="0"/>
    <w:pPr>
      <w:tabs>
        <w:tab w:val="right" w:leader="dot" w:pos="9344"/>
      </w:tabs>
      <w:spacing w:line="360" w:lineRule="auto"/>
    </w:pPr>
    <w:rPr>
      <w:sz w:val="24"/>
    </w:rPr>
  </w:style>
  <w:style w:type="paragraph" w:styleId="20">
    <w:name w:val="List"/>
    <w:basedOn w:val="1"/>
    <w:qFormat/>
    <w:uiPriority w:val="0"/>
    <w:pPr>
      <w:widowControl/>
      <w:ind w:left="200" w:hanging="200" w:hangingChars="200"/>
    </w:pPr>
    <w:rPr>
      <w:szCs w:val="20"/>
    </w:rPr>
  </w:style>
  <w:style w:type="paragraph" w:styleId="21">
    <w:name w:val="Body Text Indent 3"/>
    <w:basedOn w:val="1"/>
    <w:link w:val="65"/>
    <w:qFormat/>
    <w:uiPriority w:val="0"/>
    <w:pPr>
      <w:spacing w:after="120"/>
      <w:ind w:left="420" w:leftChars="200"/>
    </w:pPr>
    <w:rPr>
      <w:sz w:val="16"/>
      <w:szCs w:val="16"/>
    </w:rPr>
  </w:style>
  <w:style w:type="paragraph" w:styleId="22">
    <w:name w:val="Body Text 2"/>
    <w:basedOn w:val="1"/>
    <w:link w:val="62"/>
    <w:qFormat/>
    <w:uiPriority w:val="0"/>
    <w:pPr>
      <w:spacing w:after="120" w:line="480" w:lineRule="auto"/>
    </w:p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4">
    <w:name w:val="annotation subject"/>
    <w:basedOn w:val="9"/>
    <w:next w:val="9"/>
    <w:link w:val="83"/>
    <w:qFormat/>
    <w:uiPriority w:val="0"/>
    <w:rPr>
      <w:b/>
      <w:bCs/>
    </w:rPr>
  </w:style>
  <w:style w:type="paragraph" w:styleId="25">
    <w:name w:val="Body Text First Indent"/>
    <w:basedOn w:val="11"/>
    <w:next w:val="1"/>
    <w:qFormat/>
    <w:uiPriority w:val="0"/>
    <w:pPr>
      <w:spacing w:after="120"/>
      <w:ind w:firstLine="420" w:firstLineChars="100"/>
    </w:pPr>
    <w:rPr>
      <w:sz w:val="21"/>
    </w:rPr>
  </w:style>
  <w:style w:type="paragraph" w:styleId="26">
    <w:name w:val="Body Text First Indent 2"/>
    <w:basedOn w:val="7"/>
    <w:next w:val="1"/>
    <w:qFormat/>
    <w:uiPriority w:val="0"/>
    <w:pPr>
      <w:ind w:firstLine="420"/>
    </w:pPr>
  </w:style>
  <w:style w:type="table" w:styleId="28">
    <w:name w:val="Table Grid"/>
    <w:basedOn w:val="2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paragraph" w:customStyle="1" w:styleId="35">
    <w:name w:val="_Style 2"/>
    <w:basedOn w:val="1"/>
    <w:qFormat/>
    <w:uiPriority w:val="34"/>
    <w:pPr>
      <w:ind w:firstLine="420" w:firstLineChars="200"/>
    </w:pPr>
    <w:rPr>
      <w:rFonts w:ascii="Calibri" w:hAnsi="Calibri"/>
      <w:szCs w:val="22"/>
    </w:rPr>
  </w:style>
  <w:style w:type="paragraph" w:customStyle="1" w:styleId="36">
    <w:name w:val="首行缩进"/>
    <w:basedOn w:val="1"/>
    <w:qFormat/>
    <w:uiPriority w:val="0"/>
    <w:pPr>
      <w:spacing w:line="360" w:lineRule="auto"/>
      <w:ind w:firstLine="480" w:firstLineChars="200"/>
    </w:pPr>
    <w:rPr>
      <w:sz w:val="24"/>
      <w:lang w:val="zh-CN"/>
    </w:rPr>
  </w:style>
  <w:style w:type="paragraph" w:customStyle="1" w:styleId="37">
    <w:name w:val="Default"/>
    <w:next w:val="38"/>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8">
    <w:name w:val="TOC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39">
    <w:name w:val="标题 1 字符"/>
    <w:basedOn w:val="29"/>
    <w:link w:val="2"/>
    <w:qFormat/>
    <w:uiPriority w:val="0"/>
    <w:rPr>
      <w:rFonts w:ascii="Times New Roman" w:hAnsi="Times New Roman" w:eastAsia="宋体" w:cs="Times New Roman"/>
      <w:b/>
      <w:bCs/>
      <w:kern w:val="44"/>
      <w:sz w:val="44"/>
      <w:szCs w:val="44"/>
    </w:rPr>
  </w:style>
  <w:style w:type="character" w:customStyle="1" w:styleId="40">
    <w:name w:val="标题 2 字符"/>
    <w:basedOn w:val="29"/>
    <w:link w:val="3"/>
    <w:qFormat/>
    <w:uiPriority w:val="0"/>
    <w:rPr>
      <w:rFonts w:ascii="Arial" w:hAnsi="Arial" w:eastAsia="黑体" w:cs="Times New Roman"/>
      <w:b/>
      <w:bCs/>
      <w:sz w:val="32"/>
      <w:szCs w:val="32"/>
    </w:rPr>
  </w:style>
  <w:style w:type="character" w:customStyle="1" w:styleId="41">
    <w:name w:val="标题 3 字符"/>
    <w:basedOn w:val="29"/>
    <w:link w:val="4"/>
    <w:qFormat/>
    <w:uiPriority w:val="0"/>
    <w:rPr>
      <w:rFonts w:ascii="Times New Roman" w:hAnsi="Times New Roman" w:eastAsia="宋体" w:cs="Times New Roman"/>
      <w:b/>
      <w:bCs/>
      <w:sz w:val="24"/>
      <w:szCs w:val="32"/>
    </w:rPr>
  </w:style>
  <w:style w:type="character" w:customStyle="1" w:styleId="42">
    <w:name w:val="纯文本 Char Char Char Char Char Char Char Char Char Char"/>
    <w:qFormat/>
    <w:uiPriority w:val="0"/>
    <w:rPr>
      <w:rFonts w:ascii="宋体" w:hAnsi="Courier New" w:eastAsia="宋体"/>
      <w:sz w:val="21"/>
      <w:szCs w:val="21"/>
      <w:lang w:val="en-US" w:eastAsia="zh-CN" w:bidi="ar-SA"/>
    </w:rPr>
  </w:style>
  <w:style w:type="character" w:customStyle="1" w:styleId="43">
    <w:name w:val="页眉 Char"/>
    <w:qFormat/>
    <w:uiPriority w:val="0"/>
    <w:rPr>
      <w:sz w:val="18"/>
      <w:szCs w:val="18"/>
    </w:rPr>
  </w:style>
  <w:style w:type="character" w:customStyle="1" w:styleId="44">
    <w:name w:val="普通文字 Char Char1"/>
    <w:qFormat/>
    <w:uiPriority w:val="0"/>
    <w:rPr>
      <w:rFonts w:ascii="宋体" w:hAnsi="Courier New" w:eastAsia="宋体"/>
      <w:kern w:val="2"/>
      <w:sz w:val="21"/>
      <w:lang w:val="en-US" w:eastAsia="zh-CN" w:bidi="ar-SA"/>
    </w:rPr>
  </w:style>
  <w:style w:type="character" w:customStyle="1" w:styleId="45">
    <w:name w:val="无间隔 字符"/>
    <w:link w:val="46"/>
    <w:qFormat/>
    <w:uiPriority w:val="0"/>
    <w:rPr>
      <w:rFonts w:ascii="Calibri" w:hAnsi="Calibri"/>
      <w:sz w:val="22"/>
    </w:rPr>
  </w:style>
  <w:style w:type="paragraph" w:styleId="46">
    <w:name w:val="No Spacing"/>
    <w:link w:val="45"/>
    <w:qFormat/>
    <w:uiPriority w:val="0"/>
    <w:rPr>
      <w:rFonts w:ascii="Calibri" w:hAnsi="Calibri" w:eastAsiaTheme="minorEastAsia" w:cstheme="minorBidi"/>
      <w:kern w:val="2"/>
      <w:sz w:val="22"/>
      <w:szCs w:val="22"/>
      <w:lang w:val="en-US" w:eastAsia="zh-CN" w:bidi="ar-SA"/>
    </w:rPr>
  </w:style>
  <w:style w:type="character" w:customStyle="1" w:styleId="47">
    <w:name w:val="页脚 Char"/>
    <w:qFormat/>
    <w:uiPriority w:val="99"/>
    <w:rPr>
      <w:sz w:val="18"/>
      <w:szCs w:val="18"/>
    </w:rPr>
  </w:style>
  <w:style w:type="character" w:customStyle="1" w:styleId="48">
    <w:name w:val="纯文本 Char"/>
    <w:qFormat/>
    <w:uiPriority w:val="0"/>
    <w:rPr>
      <w:rFonts w:ascii="宋体" w:hAnsi="Courier New"/>
    </w:rPr>
  </w:style>
  <w:style w:type="character" w:customStyle="1" w:styleId="49">
    <w:name w:val="批注主题 Char"/>
    <w:qFormat/>
    <w:uiPriority w:val="0"/>
    <w:rPr>
      <w:b/>
      <w:bCs/>
      <w:sz w:val="24"/>
      <w:szCs w:val="24"/>
    </w:rPr>
  </w:style>
  <w:style w:type="character" w:customStyle="1" w:styleId="50">
    <w:name w:val="Char Char"/>
    <w:qFormat/>
    <w:uiPriority w:val="0"/>
    <w:rPr>
      <w:rFonts w:eastAsia="宋体"/>
      <w:kern w:val="2"/>
      <w:sz w:val="21"/>
      <w:lang w:val="en-US" w:eastAsia="zh-CN" w:bidi="ar-SA"/>
    </w:rPr>
  </w:style>
  <w:style w:type="character" w:customStyle="1" w:styleId="51">
    <w:name w:val="label_list"/>
    <w:qFormat/>
    <w:uiPriority w:val="0"/>
    <w:rPr>
      <w:rFonts w:cs="Times New Roman"/>
    </w:rPr>
  </w:style>
  <w:style w:type="character" w:customStyle="1" w:styleId="52">
    <w:name w:val="apple-style-span"/>
    <w:basedOn w:val="29"/>
    <w:qFormat/>
    <w:uiPriority w:val="0"/>
  </w:style>
  <w:style w:type="character" w:customStyle="1" w:styleId="53">
    <w:name w:val="content"/>
    <w:basedOn w:val="29"/>
    <w:qFormat/>
    <w:uiPriority w:val="0"/>
  </w:style>
  <w:style w:type="character" w:customStyle="1" w:styleId="54">
    <w:name w:val="zbggmain style9"/>
    <w:basedOn w:val="29"/>
    <w:qFormat/>
    <w:uiPriority w:val="0"/>
  </w:style>
  <w:style w:type="character" w:customStyle="1" w:styleId="55">
    <w:name w:val="zjaf121"/>
    <w:qFormat/>
    <w:uiPriority w:val="0"/>
    <w:rPr>
      <w:rFonts w:hint="default" w:ascii="zjaf" w:hAnsi="zjaf"/>
      <w:sz w:val="20"/>
    </w:rPr>
  </w:style>
  <w:style w:type="character" w:customStyle="1" w:styleId="56">
    <w:name w:val="font01"/>
    <w:qFormat/>
    <w:uiPriority w:val="0"/>
    <w:rPr>
      <w:rFonts w:hint="eastAsia" w:ascii="宋体" w:hAnsi="宋体" w:eastAsia="宋体" w:cs="宋体"/>
      <w:color w:val="000000"/>
      <w:sz w:val="18"/>
      <w:szCs w:val="18"/>
      <w:u w:val="none"/>
    </w:rPr>
  </w:style>
  <w:style w:type="character" w:customStyle="1" w:styleId="57">
    <w:name w:val="font31"/>
    <w:qFormat/>
    <w:uiPriority w:val="0"/>
    <w:rPr>
      <w:rFonts w:hint="eastAsia" w:ascii="宋体" w:hAnsi="宋体" w:eastAsia="宋体" w:cs="宋体"/>
      <w:color w:val="000000"/>
      <w:sz w:val="20"/>
      <w:szCs w:val="20"/>
      <w:u w:val="none"/>
    </w:rPr>
  </w:style>
  <w:style w:type="character" w:customStyle="1" w:styleId="58">
    <w:name w:val="Header Char"/>
    <w:qFormat/>
    <w:locked/>
    <w:uiPriority w:val="0"/>
    <w:rPr>
      <w:rFonts w:cs="Times New Roman"/>
      <w:sz w:val="18"/>
      <w:szCs w:val="18"/>
    </w:rPr>
  </w:style>
  <w:style w:type="character" w:customStyle="1" w:styleId="59">
    <w:name w:val="批注文字 Char"/>
    <w:qFormat/>
    <w:uiPriority w:val="0"/>
    <w:rPr>
      <w:sz w:val="24"/>
      <w:szCs w:val="24"/>
    </w:rPr>
  </w:style>
  <w:style w:type="character" w:customStyle="1" w:styleId="60">
    <w:name w:val="批注框文本 Char"/>
    <w:qFormat/>
    <w:uiPriority w:val="0"/>
    <w:rPr>
      <w:sz w:val="18"/>
      <w:szCs w:val="18"/>
    </w:rPr>
  </w:style>
  <w:style w:type="character" w:customStyle="1" w:styleId="61">
    <w:name w:val="正文文本 字符"/>
    <w:basedOn w:val="29"/>
    <w:link w:val="11"/>
    <w:qFormat/>
    <w:uiPriority w:val="0"/>
    <w:rPr>
      <w:rFonts w:ascii="Times New Roman" w:hAnsi="Times New Roman" w:eastAsia="宋体" w:cs="Times New Roman"/>
      <w:sz w:val="24"/>
      <w:szCs w:val="24"/>
    </w:rPr>
  </w:style>
  <w:style w:type="character" w:customStyle="1" w:styleId="62">
    <w:name w:val="正文文本 2 字符"/>
    <w:basedOn w:val="29"/>
    <w:link w:val="22"/>
    <w:qFormat/>
    <w:uiPriority w:val="0"/>
    <w:rPr>
      <w:rFonts w:ascii="Times New Roman" w:hAnsi="Times New Roman" w:eastAsia="宋体" w:cs="Times New Roman"/>
      <w:szCs w:val="24"/>
    </w:rPr>
  </w:style>
  <w:style w:type="paragraph" w:customStyle="1" w:styleId="63">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kern w:val="0"/>
      <w:sz w:val="20"/>
      <w:szCs w:val="20"/>
    </w:rPr>
  </w:style>
  <w:style w:type="paragraph" w:customStyle="1" w:styleId="64">
    <w:name w:val="xl77"/>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kern w:val="0"/>
      <w:sz w:val="24"/>
    </w:rPr>
  </w:style>
  <w:style w:type="character" w:customStyle="1" w:styleId="65">
    <w:name w:val="正文文本缩进 3 字符"/>
    <w:basedOn w:val="29"/>
    <w:link w:val="21"/>
    <w:qFormat/>
    <w:uiPriority w:val="0"/>
    <w:rPr>
      <w:rFonts w:ascii="Times New Roman" w:hAnsi="Times New Roman" w:eastAsia="宋体" w:cs="Times New Roman"/>
      <w:sz w:val="16"/>
      <w:szCs w:val="16"/>
    </w:rPr>
  </w:style>
  <w:style w:type="paragraph" w:customStyle="1" w:styleId="66">
    <w:name w:val="xl110"/>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color w:val="FF0000"/>
      <w:kern w:val="0"/>
      <w:sz w:val="22"/>
      <w:szCs w:val="22"/>
    </w:rPr>
  </w:style>
  <w:style w:type="character" w:customStyle="1" w:styleId="67">
    <w:name w:val="正文文本 3 字符"/>
    <w:basedOn w:val="29"/>
    <w:link w:val="10"/>
    <w:qFormat/>
    <w:uiPriority w:val="0"/>
    <w:rPr>
      <w:rFonts w:ascii="Times New Roman" w:hAnsi="Times New Roman" w:eastAsia="宋体" w:cs="Times New Roman"/>
      <w:sz w:val="24"/>
      <w:szCs w:val="21"/>
    </w:rPr>
  </w:style>
  <w:style w:type="paragraph" w:customStyle="1" w:styleId="68">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character" w:customStyle="1" w:styleId="69">
    <w:name w:val="纯文本 字符"/>
    <w:basedOn w:val="29"/>
    <w:link w:val="13"/>
    <w:qFormat/>
    <w:uiPriority w:val="0"/>
    <w:rPr>
      <w:rFonts w:ascii="宋体" w:hAnsi="Courier New" w:eastAsia="宋体" w:cs="Courier New"/>
      <w:szCs w:val="21"/>
    </w:rPr>
  </w:style>
  <w:style w:type="character" w:customStyle="1" w:styleId="70">
    <w:name w:val="批注文字 字符"/>
    <w:basedOn w:val="29"/>
    <w:link w:val="9"/>
    <w:semiHidden/>
    <w:qFormat/>
    <w:uiPriority w:val="99"/>
    <w:rPr>
      <w:rFonts w:ascii="Times New Roman" w:hAnsi="Times New Roman" w:eastAsia="宋体" w:cs="Times New Roman"/>
      <w:szCs w:val="24"/>
    </w:rPr>
  </w:style>
  <w:style w:type="character" w:customStyle="1" w:styleId="71">
    <w:name w:val="文档结构图 字符"/>
    <w:basedOn w:val="29"/>
    <w:link w:val="8"/>
    <w:semiHidden/>
    <w:qFormat/>
    <w:uiPriority w:val="0"/>
    <w:rPr>
      <w:rFonts w:ascii="Times New Roman" w:hAnsi="Times New Roman" w:eastAsia="宋体" w:cs="Times New Roman"/>
      <w:sz w:val="24"/>
      <w:szCs w:val="24"/>
      <w:shd w:val="clear" w:color="auto" w:fill="000080"/>
    </w:rPr>
  </w:style>
  <w:style w:type="character" w:customStyle="1" w:styleId="72">
    <w:name w:val="正文文本缩进 2 字符"/>
    <w:basedOn w:val="29"/>
    <w:link w:val="15"/>
    <w:qFormat/>
    <w:uiPriority w:val="0"/>
    <w:rPr>
      <w:rFonts w:ascii="Times New Roman" w:hAnsi="Times New Roman" w:eastAsia="宋体" w:cs="Times New Roman"/>
      <w:szCs w:val="24"/>
    </w:rPr>
  </w:style>
  <w:style w:type="character" w:customStyle="1" w:styleId="73">
    <w:name w:val="正文文本缩进 字符"/>
    <w:basedOn w:val="29"/>
    <w:link w:val="7"/>
    <w:qFormat/>
    <w:uiPriority w:val="99"/>
    <w:rPr>
      <w:rFonts w:ascii="Times New Roman" w:hAnsi="Times New Roman" w:eastAsia="宋体" w:cs="Times New Roman"/>
      <w:szCs w:val="24"/>
    </w:rPr>
  </w:style>
  <w:style w:type="character" w:customStyle="1" w:styleId="74">
    <w:name w:val="页脚 字符"/>
    <w:basedOn w:val="29"/>
    <w:link w:val="17"/>
    <w:semiHidden/>
    <w:qFormat/>
    <w:uiPriority w:val="99"/>
    <w:rPr>
      <w:rFonts w:ascii="Times New Roman" w:hAnsi="Times New Roman" w:eastAsia="宋体" w:cs="Times New Roman"/>
      <w:sz w:val="18"/>
      <w:szCs w:val="18"/>
    </w:rPr>
  </w:style>
  <w:style w:type="character" w:customStyle="1" w:styleId="75">
    <w:name w:val="批注框文本 字符"/>
    <w:basedOn w:val="29"/>
    <w:link w:val="16"/>
    <w:semiHidden/>
    <w:qFormat/>
    <w:uiPriority w:val="99"/>
    <w:rPr>
      <w:rFonts w:ascii="Times New Roman" w:hAnsi="Times New Roman" w:eastAsia="宋体" w:cs="Times New Roman"/>
      <w:sz w:val="18"/>
      <w:szCs w:val="18"/>
    </w:rPr>
  </w:style>
  <w:style w:type="character" w:customStyle="1" w:styleId="76">
    <w:name w:val="页眉 字符"/>
    <w:basedOn w:val="29"/>
    <w:link w:val="18"/>
    <w:semiHidden/>
    <w:qFormat/>
    <w:uiPriority w:val="99"/>
    <w:rPr>
      <w:rFonts w:ascii="Times New Roman" w:hAnsi="Times New Roman" w:eastAsia="宋体" w:cs="Times New Roman"/>
      <w:sz w:val="18"/>
      <w:szCs w:val="18"/>
    </w:rPr>
  </w:style>
  <w:style w:type="character" w:customStyle="1" w:styleId="77">
    <w:name w:val="日期 字符"/>
    <w:basedOn w:val="29"/>
    <w:link w:val="14"/>
    <w:qFormat/>
    <w:uiPriority w:val="0"/>
    <w:rPr>
      <w:rFonts w:ascii="Times New Roman" w:hAnsi="Times New Roman" w:eastAsia="宋体" w:cs="Times New Roman"/>
      <w:sz w:val="24"/>
      <w:szCs w:val="24"/>
    </w:rPr>
  </w:style>
  <w:style w:type="paragraph" w:customStyle="1" w:styleId="78">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4"/>
    </w:rPr>
  </w:style>
  <w:style w:type="paragraph" w:customStyle="1" w:styleId="79">
    <w:name w:val="4"/>
    <w:basedOn w:val="1"/>
    <w:next w:val="13"/>
    <w:qFormat/>
    <w:uiPriority w:val="0"/>
    <w:rPr>
      <w:rFonts w:ascii="宋体" w:hAnsi="Courier New"/>
      <w:szCs w:val="20"/>
    </w:rPr>
  </w:style>
  <w:style w:type="paragraph" w:customStyle="1" w:styleId="80">
    <w:name w:val="body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81">
    <w:name w:val="标题 7 New"/>
    <w:basedOn w:val="1"/>
    <w:next w:val="1"/>
    <w:qFormat/>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customStyle="1" w:styleId="82">
    <w:name w:val="Char Char Char2 Char"/>
    <w:basedOn w:val="1"/>
    <w:qFormat/>
    <w:uiPriority w:val="0"/>
    <w:rPr>
      <w:sz w:val="24"/>
    </w:rPr>
  </w:style>
  <w:style w:type="character" w:customStyle="1" w:styleId="83">
    <w:name w:val="批注主题 字符"/>
    <w:basedOn w:val="70"/>
    <w:link w:val="24"/>
    <w:semiHidden/>
    <w:qFormat/>
    <w:uiPriority w:val="99"/>
    <w:rPr>
      <w:rFonts w:ascii="Times New Roman" w:hAnsi="Times New Roman" w:eastAsia="宋体" w:cs="Times New Roman"/>
      <w:b/>
      <w:bCs/>
      <w:szCs w:val="24"/>
    </w:rPr>
  </w:style>
  <w:style w:type="paragraph" w:customStyle="1" w:styleId="84">
    <w:name w:val="批注主题 Char Char"/>
    <w:basedOn w:val="1"/>
    <w:qFormat/>
    <w:uiPriority w:val="0"/>
    <w:rPr>
      <w:szCs w:val="21"/>
    </w:rPr>
  </w:style>
  <w:style w:type="paragraph" w:customStyle="1" w:styleId="85">
    <w:name w:val="xl149"/>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86">
    <w:name w:val="xl15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2"/>
      <w:szCs w:val="22"/>
    </w:rPr>
  </w:style>
  <w:style w:type="paragraph" w:customStyle="1" w:styleId="87">
    <w:name w:val="列出段落1"/>
    <w:basedOn w:val="1"/>
    <w:qFormat/>
    <w:uiPriority w:val="0"/>
    <w:pPr>
      <w:ind w:firstLine="420" w:firstLineChars="200"/>
    </w:pPr>
    <w:rPr>
      <w:rFonts w:ascii="Calibri" w:hAnsi="Calibri"/>
      <w:szCs w:val="21"/>
    </w:rPr>
  </w:style>
  <w:style w:type="paragraph" w:customStyle="1" w:styleId="88">
    <w:name w:val="xl121"/>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kern w:val="0"/>
      <w:sz w:val="24"/>
    </w:rPr>
  </w:style>
  <w:style w:type="paragraph" w:customStyle="1" w:styleId="89">
    <w:name w:val="xl122"/>
    <w:basedOn w:val="1"/>
    <w:qFormat/>
    <w:uiPriority w:val="0"/>
    <w:pPr>
      <w:widowControl/>
      <w:pBdr>
        <w:top w:val="single" w:color="auto" w:sz="4" w:space="0"/>
        <w:bottom w:val="single" w:color="auto" w:sz="4" w:space="0"/>
      </w:pBdr>
      <w:shd w:val="clear" w:color="auto" w:fill="FFFFFF"/>
      <w:spacing w:before="100" w:beforeAutospacing="1" w:after="100" w:afterAutospacing="1"/>
      <w:jc w:val="left"/>
      <w:textAlignment w:val="center"/>
    </w:pPr>
    <w:rPr>
      <w:kern w:val="0"/>
      <w:sz w:val="24"/>
    </w:rPr>
  </w:style>
  <w:style w:type="paragraph" w:customStyle="1" w:styleId="90">
    <w:name w:val="Char Char Char Char Char Char Char"/>
    <w:basedOn w:val="1"/>
    <w:qFormat/>
    <w:uiPriority w:val="0"/>
    <w:rPr>
      <w:rFonts w:ascii="Tahoma" w:hAnsi="Tahoma"/>
      <w:sz w:val="24"/>
      <w:szCs w:val="20"/>
    </w:rPr>
  </w:style>
  <w:style w:type="paragraph" w:customStyle="1" w:styleId="91">
    <w:name w:val="font20"/>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92">
    <w:name w:val="xl167"/>
    <w:basedOn w:val="1"/>
    <w:qFormat/>
    <w:uiPriority w:val="0"/>
    <w:pPr>
      <w:widowControl/>
      <w:pBdr>
        <w:bottom w:val="single" w:color="auto" w:sz="4" w:space="0"/>
      </w:pBdr>
      <w:shd w:val="clear" w:color="auto" w:fill="FFFFFF"/>
      <w:spacing w:before="100" w:beforeAutospacing="1" w:after="100" w:afterAutospacing="1"/>
      <w:jc w:val="left"/>
      <w:textAlignment w:val="center"/>
    </w:pPr>
    <w:rPr>
      <w:rFonts w:ascii="隶书" w:hAnsi="宋体" w:eastAsia="隶书" w:cs="宋体"/>
      <w:kern w:val="0"/>
      <w:sz w:val="36"/>
      <w:szCs w:val="36"/>
    </w:rPr>
  </w:style>
  <w:style w:type="paragraph" w:customStyle="1" w:styleId="93">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94">
    <w:name w:val="xl153"/>
    <w:basedOn w:val="1"/>
    <w:qFormat/>
    <w:uiPriority w:val="0"/>
    <w:pPr>
      <w:widowControl/>
      <w:shd w:val="clear" w:color="auto" w:fill="FFFF00"/>
      <w:spacing w:before="100" w:beforeAutospacing="1" w:after="100" w:afterAutospacing="1"/>
      <w:jc w:val="left"/>
    </w:pPr>
    <w:rPr>
      <w:rFonts w:ascii="宋体" w:hAnsi="宋体" w:cs="宋体"/>
      <w:kern w:val="0"/>
      <w:sz w:val="24"/>
    </w:rPr>
  </w:style>
  <w:style w:type="paragraph" w:customStyle="1" w:styleId="95">
    <w:name w:val="xl10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96">
    <w:name w:val="xl12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97">
    <w:name w:val="xl1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9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xl13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00">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101">
    <w:name w:val="font9"/>
    <w:basedOn w:val="1"/>
    <w:qFormat/>
    <w:uiPriority w:val="0"/>
    <w:pPr>
      <w:widowControl/>
      <w:spacing w:before="100" w:beforeAutospacing="1" w:after="100" w:afterAutospacing="1"/>
      <w:jc w:val="left"/>
    </w:pPr>
    <w:rPr>
      <w:kern w:val="0"/>
      <w:sz w:val="22"/>
      <w:szCs w:val="22"/>
    </w:rPr>
  </w:style>
  <w:style w:type="paragraph" w:customStyle="1" w:styleId="102">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103">
    <w:name w:val="xl120"/>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104">
    <w:name w:val="Char Char Char"/>
    <w:basedOn w:val="1"/>
    <w:qFormat/>
    <w:uiPriority w:val="0"/>
    <w:rPr>
      <w:rFonts w:ascii="Tahoma" w:hAnsi="Tahoma"/>
      <w:sz w:val="24"/>
      <w:szCs w:val="20"/>
    </w:rPr>
  </w:style>
  <w:style w:type="paragraph" w:customStyle="1" w:styleId="105">
    <w:name w:val="xl16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2"/>
      <w:szCs w:val="22"/>
    </w:rPr>
  </w:style>
  <w:style w:type="paragraph" w:customStyle="1" w:styleId="106">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07">
    <w:name w:val="Char Char3 Char Char"/>
    <w:basedOn w:val="8"/>
    <w:qFormat/>
    <w:uiPriority w:val="0"/>
    <w:rPr>
      <w:rFonts w:ascii="Tahoma" w:hAnsi="Tahoma"/>
    </w:rPr>
  </w:style>
  <w:style w:type="paragraph" w:customStyle="1" w:styleId="108">
    <w:name w:val="xl169"/>
    <w:basedOn w:val="1"/>
    <w:qFormat/>
    <w:uiPriority w:val="0"/>
    <w:pPr>
      <w:widowControl/>
      <w:pBdr>
        <w:bottom w:val="single" w:color="auto" w:sz="4" w:space="0"/>
      </w:pBdr>
      <w:shd w:val="clear" w:color="auto" w:fill="FFFFFF"/>
      <w:spacing w:before="100" w:beforeAutospacing="1" w:after="100" w:afterAutospacing="1"/>
      <w:jc w:val="left"/>
      <w:textAlignment w:val="center"/>
    </w:pPr>
    <w:rPr>
      <w:rFonts w:ascii="隶书" w:hAnsi="宋体" w:eastAsia="隶书" w:cs="宋体"/>
      <w:kern w:val="0"/>
      <w:sz w:val="20"/>
      <w:szCs w:val="20"/>
    </w:rPr>
  </w:style>
  <w:style w:type="paragraph" w:customStyle="1" w:styleId="109">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节标题"/>
    <w:basedOn w:val="1"/>
    <w:next w:val="1"/>
    <w:qFormat/>
    <w:uiPriority w:val="0"/>
    <w:pPr>
      <w:widowControl/>
      <w:spacing w:line="867" w:lineRule="atLeast"/>
      <w:jc w:val="center"/>
      <w:textAlignment w:val="baseline"/>
    </w:pPr>
    <w:rPr>
      <w:color w:val="000000"/>
      <w:kern w:val="0"/>
      <w:sz w:val="28"/>
      <w:szCs w:val="20"/>
      <w:u w:color="000000"/>
    </w:rPr>
  </w:style>
  <w:style w:type="paragraph" w:customStyle="1" w:styleId="111">
    <w:name w:val="xl107"/>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112">
    <w:name w:val="xl165"/>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13">
    <w:name w:val="xl144"/>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114">
    <w:name w:val="xl99"/>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15">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color w:val="FF0000"/>
      <w:kern w:val="0"/>
      <w:sz w:val="20"/>
      <w:szCs w:val="20"/>
    </w:rPr>
  </w:style>
  <w:style w:type="paragraph" w:customStyle="1" w:styleId="116">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17">
    <w:name w:val="样式 样式 标题 4 + 非加粗 + (中文) 黑体 段前: 0 磅 段后: 0 磅 行距: 固定值 22 磅"/>
    <w:basedOn w:val="1"/>
    <w:qFormat/>
    <w:uiPriority w:val="0"/>
    <w:pPr>
      <w:keepNext/>
      <w:keepLines/>
      <w:spacing w:beforeLines="50" w:afterLines="50" w:line="500" w:lineRule="exact"/>
      <w:outlineLvl w:val="3"/>
    </w:pPr>
    <w:rPr>
      <w:rFonts w:ascii="Arial" w:hAnsi="Arial" w:cs="宋体"/>
      <w:b/>
      <w:bCs/>
      <w:sz w:val="24"/>
    </w:rPr>
  </w:style>
  <w:style w:type="paragraph" w:customStyle="1" w:styleId="118">
    <w:name w:val="xl109"/>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color w:val="FF0000"/>
      <w:kern w:val="0"/>
      <w:sz w:val="22"/>
      <w:szCs w:val="22"/>
    </w:rPr>
  </w:style>
  <w:style w:type="paragraph" w:customStyle="1" w:styleId="119">
    <w:name w:val="xl145"/>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20">
    <w:name w:val="xl97"/>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121">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kern w:val="0"/>
      <w:sz w:val="24"/>
    </w:rPr>
  </w:style>
  <w:style w:type="paragraph" w:customStyle="1" w:styleId="122">
    <w:name w:val="xl1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Narrow" w:hAnsi="Arial Narrow" w:cs="宋体"/>
      <w:kern w:val="0"/>
      <w:sz w:val="20"/>
      <w:szCs w:val="20"/>
    </w:rPr>
  </w:style>
  <w:style w:type="paragraph" w:customStyle="1" w:styleId="123">
    <w:name w:val="xl14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24">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125">
    <w:name w:val="xl11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126">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127">
    <w:name w:val="xl123"/>
    <w:basedOn w:val="1"/>
    <w:qFormat/>
    <w:uiPriority w:val="0"/>
    <w:pPr>
      <w:widowControl/>
      <w:pBdr>
        <w:top w:val="single" w:color="auto" w:sz="4" w:space="0"/>
        <w:bottom w:val="single" w:color="auto" w:sz="4" w:space="0"/>
      </w:pBdr>
      <w:shd w:val="clear" w:color="auto" w:fill="FFFFFF"/>
      <w:spacing w:before="100" w:beforeAutospacing="1" w:after="100" w:afterAutospacing="1"/>
      <w:jc w:val="left"/>
      <w:textAlignment w:val="center"/>
    </w:pPr>
    <w:rPr>
      <w:rFonts w:ascii="Arial Narrow" w:hAnsi="Arial Narrow" w:cs="宋体"/>
      <w:kern w:val="0"/>
      <w:sz w:val="20"/>
      <w:szCs w:val="20"/>
    </w:rPr>
  </w:style>
  <w:style w:type="paragraph" w:customStyle="1" w:styleId="128">
    <w:name w:val="font2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15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130">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3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2">
    <w:name w:val="main"/>
    <w:basedOn w:val="1"/>
    <w:qFormat/>
    <w:uiPriority w:val="0"/>
    <w:pPr>
      <w:widowControl/>
      <w:spacing w:before="100" w:beforeAutospacing="1" w:after="100" w:afterAutospacing="1" w:line="368" w:lineRule="atLeast"/>
      <w:jc w:val="left"/>
    </w:pPr>
    <w:rPr>
      <w:rFonts w:ascii="宋体" w:hAnsi="宋体" w:cs="宋体"/>
      <w:kern w:val="0"/>
      <w:sz w:val="24"/>
    </w:rPr>
  </w:style>
  <w:style w:type="paragraph" w:customStyle="1" w:styleId="133">
    <w:name w:val="列出段落2"/>
    <w:basedOn w:val="1"/>
    <w:qFormat/>
    <w:uiPriority w:val="0"/>
    <w:pPr>
      <w:ind w:firstLine="420" w:firstLineChars="200"/>
    </w:pPr>
    <w:rPr>
      <w:rFonts w:ascii="Calibri" w:hAnsi="Calibri"/>
      <w:szCs w:val="22"/>
    </w:rPr>
  </w:style>
  <w:style w:type="paragraph" w:customStyle="1" w:styleId="134">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35">
    <w:name w:val="xl133"/>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36">
    <w:name w:val="xl15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b/>
      <w:bCs/>
      <w:kern w:val="0"/>
      <w:sz w:val="20"/>
      <w:szCs w:val="20"/>
    </w:rPr>
  </w:style>
  <w:style w:type="paragraph" w:customStyle="1" w:styleId="137">
    <w:name w:val="xl140"/>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Narrow" w:hAnsi="Arial Narrow" w:cs="宋体"/>
      <w:kern w:val="0"/>
      <w:sz w:val="20"/>
      <w:szCs w:val="20"/>
    </w:rPr>
  </w:style>
  <w:style w:type="paragraph" w:customStyle="1" w:styleId="139">
    <w:name w:val="font6"/>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151"/>
    <w:basedOn w:val="1"/>
    <w:qFormat/>
    <w:uiPriority w:val="0"/>
    <w:pPr>
      <w:widowControl/>
      <w:shd w:val="clear" w:color="auto" w:fill="FFFFFF"/>
      <w:spacing w:before="100" w:beforeAutospacing="1" w:after="100" w:afterAutospacing="1"/>
      <w:jc w:val="left"/>
    </w:pPr>
    <w:rPr>
      <w:color w:val="FF0000"/>
      <w:kern w:val="0"/>
      <w:sz w:val="20"/>
      <w:szCs w:val="20"/>
    </w:rPr>
  </w:style>
  <w:style w:type="paragraph" w:customStyle="1" w:styleId="141">
    <w:name w:val="_Style 9"/>
    <w:basedOn w:val="1"/>
    <w:qFormat/>
    <w:uiPriority w:val="0"/>
  </w:style>
  <w:style w:type="paragraph" w:customStyle="1" w:styleId="142">
    <w:name w:val="xl16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xl166"/>
    <w:basedOn w:val="1"/>
    <w:qFormat/>
    <w:uiPriority w:val="0"/>
    <w:pPr>
      <w:widowControl/>
      <w:pBdr>
        <w:left w:val="single" w:color="auto" w:sz="8" w:space="0"/>
        <w:bottom w:val="single" w:color="auto" w:sz="4" w:space="0"/>
      </w:pBdr>
      <w:shd w:val="clear" w:color="auto" w:fill="FFFFFF"/>
      <w:spacing w:before="100" w:beforeAutospacing="1" w:after="100" w:afterAutospacing="1"/>
      <w:jc w:val="left"/>
      <w:textAlignment w:val="center"/>
    </w:pPr>
    <w:rPr>
      <w:rFonts w:ascii="隶书" w:hAnsi="宋体" w:eastAsia="隶书" w:cs="宋体"/>
      <w:kern w:val="0"/>
      <w:sz w:val="36"/>
      <w:szCs w:val="36"/>
    </w:rPr>
  </w:style>
  <w:style w:type="paragraph" w:customStyle="1" w:styleId="144">
    <w:name w:val="WPS Plain"/>
    <w:qFormat/>
    <w:uiPriority w:val="0"/>
    <w:rPr>
      <w:rFonts w:ascii="Times New Roman" w:hAnsi="Times New Roman" w:eastAsia="宋体" w:cs="Times New Roman"/>
      <w:lang w:val="en-US" w:eastAsia="zh-CN" w:bidi="ar-SA"/>
    </w:rPr>
  </w:style>
  <w:style w:type="paragraph" w:customStyle="1" w:styleId="145">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46">
    <w:name w:val="样式2"/>
    <w:basedOn w:val="1"/>
    <w:qFormat/>
    <w:uiPriority w:val="0"/>
    <w:pPr>
      <w:adjustRightInd w:val="0"/>
      <w:spacing w:line="410" w:lineRule="atLeast"/>
      <w:jc w:val="left"/>
      <w:textAlignment w:val="baseline"/>
    </w:pPr>
    <w:rPr>
      <w:kern w:val="0"/>
      <w:sz w:val="24"/>
      <w:szCs w:val="20"/>
    </w:rPr>
  </w:style>
  <w:style w:type="paragraph" w:customStyle="1" w:styleId="147">
    <w:name w:val="xl114"/>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148">
    <w:name w:val="xl95"/>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149">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0">
    <w:name w:val="xl142"/>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151">
    <w:name w:val="xl103"/>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152">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53">
    <w:name w:val="Char Char Char1 Char"/>
    <w:basedOn w:val="1"/>
    <w:qFormat/>
    <w:uiPriority w:val="0"/>
    <w:pPr>
      <w:adjustRightInd w:val="0"/>
      <w:spacing w:line="312" w:lineRule="atLeast"/>
      <w:textAlignment w:val="baseline"/>
    </w:pPr>
    <w:rPr>
      <w:kern w:val="0"/>
      <w:sz w:val="20"/>
      <w:szCs w:val="20"/>
    </w:rPr>
  </w:style>
  <w:style w:type="paragraph" w:customStyle="1" w:styleId="154">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55">
    <w:name w:val="Char"/>
    <w:basedOn w:val="1"/>
    <w:qFormat/>
    <w:uiPriority w:val="0"/>
    <w:rPr>
      <w:szCs w:val="20"/>
    </w:rPr>
  </w:style>
  <w:style w:type="paragraph" w:customStyle="1" w:styleId="156">
    <w:name w:val="样式 四号 行距: 1.5 倍行距"/>
    <w:basedOn w:val="1"/>
    <w:qFormat/>
    <w:uiPriority w:val="0"/>
    <w:rPr>
      <w:rFonts w:cs="宋体"/>
      <w:sz w:val="24"/>
      <w:szCs w:val="20"/>
    </w:rPr>
  </w:style>
  <w:style w:type="paragraph" w:customStyle="1" w:styleId="157">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8">
    <w:name w:val="xl131"/>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Arial Narrow" w:hAnsi="Arial Narrow" w:cs="宋体"/>
      <w:kern w:val="0"/>
      <w:sz w:val="20"/>
      <w:szCs w:val="20"/>
    </w:rPr>
  </w:style>
  <w:style w:type="paragraph" w:customStyle="1" w:styleId="159">
    <w:name w:val="xl143"/>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160">
    <w:name w:val="Char1"/>
    <w:basedOn w:val="18"/>
    <w:next w:val="18"/>
    <w:qFormat/>
    <w:uiPriority w:val="0"/>
    <w:pPr>
      <w:snapToGrid/>
      <w:jc w:val="right"/>
    </w:pPr>
    <w:rPr>
      <w:rFonts w:ascii="宋体" w:hAnsi="宋体"/>
      <w:b/>
      <w:sz w:val="21"/>
      <w:szCs w:val="21"/>
    </w:rPr>
  </w:style>
  <w:style w:type="paragraph" w:customStyle="1" w:styleId="161">
    <w:name w:val="xl94"/>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62">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b/>
      <w:bCs/>
      <w:kern w:val="0"/>
      <w:sz w:val="22"/>
      <w:szCs w:val="22"/>
    </w:rPr>
  </w:style>
  <w:style w:type="paragraph" w:customStyle="1" w:styleId="163">
    <w:name w:val="Char Char Char1 Char Char Char Char Char Char Char Char Char Char Char Char Char"/>
    <w:basedOn w:val="1"/>
    <w:qFormat/>
    <w:uiPriority w:val="0"/>
    <w:rPr>
      <w:szCs w:val="20"/>
    </w:rPr>
  </w:style>
  <w:style w:type="paragraph" w:customStyle="1" w:styleId="164">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165">
    <w:name w:val="xl93"/>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66">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67">
    <w:name w:val="xl119"/>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168">
    <w:name w:val="xl11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169">
    <w:name w:val="xl1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170">
    <w:name w:val="xl87"/>
    <w:basedOn w:val="1"/>
    <w:qFormat/>
    <w:uiPriority w:val="0"/>
    <w:pPr>
      <w:widowControl/>
      <w:shd w:val="clear" w:color="auto" w:fill="FFFFFF"/>
      <w:spacing w:before="100" w:beforeAutospacing="1" w:after="100" w:afterAutospacing="1"/>
      <w:jc w:val="center"/>
      <w:textAlignment w:val="center"/>
    </w:pPr>
    <w:rPr>
      <w:color w:val="FF0000"/>
      <w:kern w:val="0"/>
      <w:sz w:val="20"/>
      <w:szCs w:val="20"/>
    </w:rPr>
  </w:style>
  <w:style w:type="paragraph" w:customStyle="1" w:styleId="171">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72">
    <w:name w:val="font1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7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174">
    <w:name w:val="_Style 7"/>
    <w:basedOn w:val="1"/>
    <w:qFormat/>
    <w:uiPriority w:val="0"/>
  </w:style>
  <w:style w:type="paragraph" w:customStyle="1" w:styleId="175">
    <w:name w:val="xl96"/>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76">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77">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78">
    <w:name w:val="xl16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179">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80">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color w:val="FF0000"/>
      <w:kern w:val="0"/>
      <w:sz w:val="22"/>
      <w:szCs w:val="22"/>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color w:val="FF0000"/>
      <w:kern w:val="0"/>
      <w:sz w:val="20"/>
      <w:szCs w:val="20"/>
    </w:rPr>
  </w:style>
  <w:style w:type="paragraph" w:customStyle="1" w:styleId="182">
    <w:name w:val="xl125"/>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183">
    <w:name w:val="xl168"/>
    <w:basedOn w:val="1"/>
    <w:qFormat/>
    <w:uiPriority w:val="0"/>
    <w:pPr>
      <w:widowControl/>
      <w:pBdr>
        <w:bottom w:val="single" w:color="auto" w:sz="4" w:space="0"/>
      </w:pBdr>
      <w:shd w:val="clear" w:color="auto" w:fill="FFFFFF"/>
      <w:spacing w:before="100" w:beforeAutospacing="1" w:after="100" w:afterAutospacing="1"/>
      <w:jc w:val="left"/>
      <w:textAlignment w:val="center"/>
    </w:pPr>
    <w:rPr>
      <w:rFonts w:ascii="隶书" w:hAnsi="宋体" w:eastAsia="隶书" w:cs="宋体"/>
      <w:kern w:val="0"/>
      <w:sz w:val="40"/>
      <w:szCs w:val="40"/>
    </w:rPr>
  </w:style>
  <w:style w:type="paragraph" w:customStyle="1" w:styleId="184">
    <w:name w:val="Char Char Char Char1 Char Char Char Char Char Char"/>
    <w:basedOn w:val="8"/>
    <w:qFormat/>
    <w:uiPriority w:val="0"/>
    <w:pPr>
      <w:spacing w:line="436" w:lineRule="exact"/>
    </w:pPr>
    <w:rPr>
      <w:rFonts w:ascii="Tahoma" w:hAnsi="Tahoma"/>
      <w:b/>
    </w:rPr>
  </w:style>
  <w:style w:type="paragraph" w:customStyle="1" w:styleId="185">
    <w:name w:val="xl15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b/>
      <w:bCs/>
      <w:kern w:val="0"/>
      <w:sz w:val="20"/>
      <w:szCs w:val="20"/>
    </w:rPr>
  </w:style>
  <w:style w:type="paragraph" w:customStyle="1" w:styleId="186">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color w:val="FF0000"/>
      <w:kern w:val="0"/>
      <w:sz w:val="20"/>
      <w:szCs w:val="20"/>
    </w:rPr>
  </w:style>
  <w:style w:type="paragraph" w:customStyle="1" w:styleId="187">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xl92"/>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189">
    <w:name w:val="样式 标题 2 + (中文) 黑体 四号 黑色"/>
    <w:basedOn w:val="3"/>
    <w:qFormat/>
    <w:uiPriority w:val="0"/>
    <w:pPr>
      <w:spacing w:line="520" w:lineRule="exact"/>
      <w:jc w:val="left"/>
    </w:pPr>
    <w:rPr>
      <w:color w:val="000000"/>
      <w:kern w:val="24"/>
      <w:sz w:val="28"/>
      <w:szCs w:val="20"/>
    </w:rPr>
  </w:style>
  <w:style w:type="paragraph" w:customStyle="1" w:styleId="190">
    <w:name w:val="xl1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2"/>
      <w:szCs w:val="22"/>
    </w:rPr>
  </w:style>
  <w:style w:type="paragraph" w:customStyle="1" w:styleId="191">
    <w:name w:val="xl13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Arial Narrow" w:hAnsi="Arial Narrow" w:cs="宋体"/>
      <w:kern w:val="0"/>
      <w:sz w:val="20"/>
      <w:szCs w:val="20"/>
    </w:rPr>
  </w:style>
  <w:style w:type="paragraph" w:customStyle="1" w:styleId="192">
    <w:name w:val="xl1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93">
    <w:name w:val="xl115"/>
    <w:basedOn w:val="1"/>
    <w:qFormat/>
    <w:uiPriority w:val="0"/>
    <w:pPr>
      <w:widowControl/>
      <w:shd w:val="clear" w:color="auto" w:fill="FFFFFF"/>
      <w:spacing w:before="100" w:beforeAutospacing="1" w:after="100" w:afterAutospacing="1"/>
      <w:jc w:val="center"/>
      <w:textAlignment w:val="center"/>
    </w:pPr>
    <w:rPr>
      <w:kern w:val="0"/>
      <w:sz w:val="24"/>
    </w:rPr>
  </w:style>
  <w:style w:type="paragraph" w:customStyle="1" w:styleId="194">
    <w:name w:val="样式 正文（首行缩进两字） + 宋体 首行缩进:  0 字符"/>
    <w:basedOn w:val="6"/>
    <w:qFormat/>
    <w:uiPriority w:val="0"/>
    <w:pPr>
      <w:spacing w:line="460" w:lineRule="exact"/>
      <w:ind w:firstLine="0"/>
    </w:pPr>
    <w:rPr>
      <w:rFonts w:ascii="宋体" w:hAnsi="宋体" w:cs="宋体"/>
      <w:spacing w:val="6"/>
      <w:kern w:val="24"/>
      <w:sz w:val="24"/>
      <w:szCs w:val="24"/>
    </w:rPr>
  </w:style>
  <w:style w:type="paragraph" w:customStyle="1" w:styleId="195">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196">
    <w:name w:val="Char Char Char1"/>
    <w:basedOn w:val="1"/>
    <w:qFormat/>
    <w:uiPriority w:val="0"/>
    <w:rPr>
      <w:rFonts w:ascii="Tahoma" w:hAnsi="Tahoma"/>
      <w:sz w:val="24"/>
      <w:szCs w:val="20"/>
    </w:rPr>
  </w:style>
  <w:style w:type="paragraph" w:customStyle="1" w:styleId="197">
    <w:name w:val="xl12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color w:val="FF0000"/>
      <w:kern w:val="0"/>
      <w:sz w:val="22"/>
      <w:szCs w:val="22"/>
    </w:rPr>
  </w:style>
  <w:style w:type="paragraph" w:customStyle="1" w:styleId="198">
    <w:name w:val="xl98"/>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99">
    <w:name w:val="xl128"/>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kern w:val="0"/>
      <w:sz w:val="24"/>
    </w:rPr>
  </w:style>
  <w:style w:type="paragraph" w:customStyle="1" w:styleId="200">
    <w:name w:val="xl100"/>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201">
    <w:name w:val="Char Char Char Char Char Char Char Char Char"/>
    <w:basedOn w:val="1"/>
    <w:qFormat/>
    <w:uiPriority w:val="0"/>
  </w:style>
  <w:style w:type="paragraph" w:customStyle="1" w:styleId="202">
    <w:name w:val="xl11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203">
    <w:name w:val="font5"/>
    <w:basedOn w:val="1"/>
    <w:qFormat/>
    <w:uiPriority w:val="0"/>
    <w:pPr>
      <w:widowControl/>
      <w:spacing w:before="100" w:beforeAutospacing="1" w:after="100" w:afterAutospacing="1"/>
      <w:jc w:val="left"/>
    </w:pPr>
    <w:rPr>
      <w:kern w:val="0"/>
      <w:sz w:val="24"/>
    </w:rPr>
  </w:style>
  <w:style w:type="paragraph" w:customStyle="1" w:styleId="20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205">
    <w:name w:val="xl117"/>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206">
    <w:name w:val="章标题"/>
    <w:basedOn w:val="1"/>
    <w:next w:val="110"/>
    <w:qFormat/>
    <w:uiPriority w:val="0"/>
    <w:pPr>
      <w:widowControl/>
      <w:spacing w:before="158" w:after="153" w:line="969" w:lineRule="atLeast"/>
      <w:jc w:val="center"/>
      <w:textAlignment w:val="baseline"/>
    </w:pPr>
    <w:rPr>
      <w:rFonts w:ascii="Arial" w:eastAsia="黑体"/>
      <w:color w:val="000000"/>
      <w:kern w:val="0"/>
      <w:sz w:val="31"/>
      <w:szCs w:val="20"/>
      <w:u w:color="000000"/>
    </w:rPr>
  </w:style>
  <w:style w:type="paragraph" w:customStyle="1" w:styleId="207">
    <w:name w:val="xl156"/>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208">
    <w:name w:val="font12"/>
    <w:basedOn w:val="1"/>
    <w:qFormat/>
    <w:uiPriority w:val="0"/>
    <w:pPr>
      <w:widowControl/>
      <w:spacing w:before="100" w:beforeAutospacing="1" w:after="100" w:afterAutospacing="1"/>
      <w:jc w:val="left"/>
    </w:pPr>
    <w:rPr>
      <w:rFonts w:ascii="楷体_GB2312" w:hAnsi="宋体" w:eastAsia="楷体_GB2312" w:cs="宋体"/>
      <w:b/>
      <w:bCs/>
      <w:kern w:val="0"/>
      <w:sz w:val="40"/>
      <w:szCs w:val="40"/>
    </w:rPr>
  </w:style>
  <w:style w:type="paragraph" w:customStyle="1" w:styleId="209">
    <w:name w:val="Char Char Char1 Char Char Char Char Char Char Char Char Char Char Char Char Char Char Char Char"/>
    <w:basedOn w:val="1"/>
    <w:qFormat/>
    <w:uiPriority w:val="0"/>
    <w:rPr>
      <w:szCs w:val="20"/>
    </w:rPr>
  </w:style>
  <w:style w:type="paragraph" w:customStyle="1" w:styleId="210">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211">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xl108"/>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213">
    <w:name w:val="xl105"/>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21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5">
    <w:name w:val="Char Char Char1 Char Char Char Char Char Char1 Char"/>
    <w:basedOn w:val="1"/>
    <w:qFormat/>
    <w:uiPriority w:val="0"/>
    <w:rPr>
      <w:szCs w:val="20"/>
    </w:rPr>
  </w:style>
  <w:style w:type="paragraph" w:styleId="216">
    <w:name w:val="List Paragraph"/>
    <w:basedOn w:val="1"/>
    <w:qFormat/>
    <w:uiPriority w:val="34"/>
    <w:pPr>
      <w:widowControl/>
      <w:overflowPunct w:val="0"/>
      <w:autoSpaceDE w:val="0"/>
      <w:autoSpaceDN w:val="0"/>
      <w:adjustRightInd w:val="0"/>
      <w:ind w:firstLine="420" w:firstLineChars="200"/>
      <w:jc w:val="left"/>
      <w:textAlignment w:val="baseline"/>
    </w:pPr>
    <w:rPr>
      <w:rFonts w:eastAsia="MingLiU"/>
      <w:kern w:val="0"/>
      <w:sz w:val="24"/>
      <w:szCs w:val="20"/>
      <w:lang w:eastAsia="zh-TW"/>
    </w:rPr>
  </w:style>
  <w:style w:type="paragraph" w:customStyle="1" w:styleId="217">
    <w:name w:val="xl91"/>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kern w:val="0"/>
      <w:sz w:val="22"/>
      <w:szCs w:val="22"/>
    </w:rPr>
  </w:style>
  <w:style w:type="paragraph" w:customStyle="1" w:styleId="218">
    <w:name w:val="xl80"/>
    <w:basedOn w:val="1"/>
    <w:qFormat/>
    <w:uiPriority w:val="0"/>
    <w:pPr>
      <w:widowControl/>
      <w:shd w:val="clear" w:color="auto" w:fill="FFFFFF"/>
      <w:spacing w:before="100" w:beforeAutospacing="1" w:after="100" w:afterAutospacing="1"/>
      <w:jc w:val="center"/>
      <w:textAlignment w:val="center"/>
    </w:pPr>
    <w:rPr>
      <w:kern w:val="0"/>
      <w:sz w:val="20"/>
      <w:szCs w:val="20"/>
    </w:rPr>
  </w:style>
  <w:style w:type="paragraph" w:customStyle="1" w:styleId="219">
    <w:name w:val="xl10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2"/>
      <w:szCs w:val="22"/>
    </w:rPr>
  </w:style>
  <w:style w:type="paragraph" w:customStyle="1" w:styleId="220">
    <w:name w:val="xl127"/>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kern w:val="0"/>
      <w:sz w:val="24"/>
    </w:rPr>
  </w:style>
  <w:style w:type="paragraph" w:customStyle="1" w:styleId="221">
    <w:name w:val="font14"/>
    <w:basedOn w:val="1"/>
    <w:qFormat/>
    <w:uiPriority w:val="0"/>
    <w:pPr>
      <w:widowControl/>
      <w:spacing w:before="100" w:beforeAutospacing="1" w:after="100" w:afterAutospacing="1"/>
      <w:jc w:val="left"/>
    </w:pPr>
    <w:rPr>
      <w:kern w:val="0"/>
      <w:sz w:val="20"/>
      <w:szCs w:val="20"/>
    </w:rPr>
  </w:style>
  <w:style w:type="paragraph" w:customStyle="1" w:styleId="222">
    <w:name w:val="xl1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kern w:val="0"/>
      <w:sz w:val="20"/>
      <w:szCs w:val="20"/>
    </w:rPr>
  </w:style>
  <w:style w:type="paragraph" w:customStyle="1" w:styleId="223">
    <w:name w:val="样式9"/>
    <w:basedOn w:val="18"/>
    <w:qFormat/>
    <w:uiPriority w:val="0"/>
    <w:pPr>
      <w:pBdr>
        <w:bottom w:val="none" w:color="auto" w:sz="0" w:space="0"/>
      </w:pBdr>
      <w:jc w:val="both"/>
    </w:pPr>
    <w:rPr>
      <w:u w:val="thick"/>
    </w:rPr>
  </w:style>
  <w:style w:type="paragraph" w:customStyle="1" w:styleId="224">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25">
    <w:name w:val="font22"/>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26">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Narrow" w:hAnsi="Arial Narrow" w:cs="宋体"/>
      <w:kern w:val="0"/>
      <w:sz w:val="20"/>
      <w:szCs w:val="20"/>
    </w:rPr>
  </w:style>
  <w:style w:type="paragraph" w:customStyle="1" w:styleId="227">
    <w:name w:val="font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28">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229">
    <w:name w:val="font19"/>
    <w:basedOn w:val="1"/>
    <w:qFormat/>
    <w:uiPriority w:val="0"/>
    <w:pPr>
      <w:widowControl/>
      <w:spacing w:before="100" w:beforeAutospacing="1" w:after="100" w:afterAutospacing="1"/>
      <w:jc w:val="left"/>
    </w:pPr>
    <w:rPr>
      <w:color w:val="FF0000"/>
      <w:kern w:val="0"/>
      <w:sz w:val="20"/>
      <w:szCs w:val="20"/>
    </w:rPr>
  </w:style>
  <w:style w:type="paragraph" w:customStyle="1" w:styleId="230">
    <w:name w:val="xl71"/>
    <w:basedOn w:val="1"/>
    <w:qFormat/>
    <w:uiPriority w:val="0"/>
    <w:pPr>
      <w:widowControl/>
      <w:shd w:val="clear" w:color="auto" w:fill="FFFFFF"/>
      <w:spacing w:before="100" w:beforeAutospacing="1" w:after="100" w:afterAutospacing="1"/>
      <w:jc w:val="center"/>
      <w:textAlignment w:val="center"/>
    </w:pPr>
    <w:rPr>
      <w:kern w:val="0"/>
      <w:sz w:val="22"/>
      <w:szCs w:val="22"/>
    </w:rPr>
  </w:style>
  <w:style w:type="paragraph" w:customStyle="1" w:styleId="231">
    <w:name w:val="xl16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FF0000"/>
      <w:kern w:val="0"/>
      <w:sz w:val="20"/>
      <w:szCs w:val="20"/>
    </w:rPr>
  </w:style>
  <w:style w:type="paragraph" w:customStyle="1" w:styleId="232">
    <w:name w:val="head"/>
    <w:basedOn w:val="1"/>
    <w:next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233">
    <w:name w:val="无间隔1"/>
    <w:qFormat/>
    <w:uiPriority w:val="0"/>
    <w:rPr>
      <w:rFonts w:ascii="Times New Roman" w:hAnsi="Times New Roman" w:eastAsia="PMingLiU" w:cs="Times New Roman"/>
      <w:snapToGrid w:val="0"/>
      <w:sz w:val="22"/>
      <w:szCs w:val="22"/>
      <w:lang w:val="en-US" w:eastAsia="zh-TW" w:bidi="ar-SA"/>
    </w:rPr>
  </w:style>
  <w:style w:type="character" w:customStyle="1" w:styleId="234">
    <w:name w:val="正文文本 (2) + 9 pt"/>
    <w:qFormat/>
    <w:uiPriority w:val="0"/>
    <w:rPr>
      <w:rFonts w:ascii="MingLiU" w:hAnsi="MingLiU" w:eastAsia="MingLiU"/>
      <w:b/>
      <w:bCs/>
      <w:color w:val="000000"/>
      <w:spacing w:val="0"/>
      <w:w w:val="100"/>
      <w:position w:val="0"/>
      <w:sz w:val="18"/>
      <w:szCs w:val="18"/>
      <w:u w:val="none"/>
      <w:shd w:val="clear" w:color="auto" w:fill="FFFFFF"/>
      <w:lang w:val="zh-CN" w:eastAsia="zh-CN" w:bidi="ar-SA"/>
    </w:rPr>
  </w:style>
  <w:style w:type="paragraph" w:customStyle="1" w:styleId="235">
    <w:name w:val="Table Paragraph"/>
    <w:basedOn w:val="1"/>
    <w:qFormat/>
    <w:uiPriority w:val="1"/>
    <w:rPr>
      <w:rFonts w:ascii="Noto Sans Mono CJK JP Regular" w:hAnsi="Noto Sans Mono CJK JP Regular" w:eastAsia="Noto Sans Mono CJK JP Regular" w:cs="Noto Sans Mono CJK JP Regular"/>
      <w:szCs w:val="22"/>
    </w:rPr>
  </w:style>
  <w:style w:type="character" w:customStyle="1" w:styleId="236">
    <w:name w:val="10"/>
    <w:basedOn w:val="29"/>
    <w:qFormat/>
    <w:uiPriority w:val="0"/>
    <w:rPr>
      <w:rFonts w:hint="default" w:ascii="Times New Roman" w:hAnsi="Times New Roman" w:cs="Times New Roman"/>
    </w:rPr>
  </w:style>
  <w:style w:type="character" w:customStyle="1" w:styleId="237">
    <w:name w:val="15"/>
    <w:basedOn w:val="29"/>
    <w:qFormat/>
    <w:uiPriority w:val="0"/>
    <w:rPr>
      <w:rFonts w:hint="default" w:ascii="Times New Roman" w:hAnsi="Times New Roman" w:cs="Times New Roman"/>
    </w:rPr>
  </w:style>
  <w:style w:type="table" w:customStyle="1" w:styleId="2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12193</Words>
  <Characters>13427</Characters>
  <Lines>278</Lines>
  <Paragraphs>78</Paragraphs>
  <TotalTime>3</TotalTime>
  <ScaleCrop>false</ScaleCrop>
  <LinksUpToDate>false</LinksUpToDate>
  <CharactersWithSpaces>13530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2023-12-25T03:04:00Z</dcterms:created>
  <dc:creator>dell</dc:creator>
  <cp:lastModifiedBy>大大大大腕</cp:lastModifiedBy>
  <cp:lastPrinted>2026-07-08T02:08:00Z</cp:lastPrinted>
  <dcterms:modified xsi:type="dcterms:W3CDTF">2026-07-13T06:09:48Z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E612D4CDD4D04F11977A9FC6355C9FA8_13</vt:lpwstr>
  </property>
  <property fmtid="{D5CDD505-2E9C-101B-9397-08002B2CF9AE}" pid="4" name="KSOTemplateDocerSaveRecord">
    <vt:lpwstr>eyJoZGlkIjoiNjI5MGUzMzVhZmYxMDcwOGQ2ZWM3OWM2YTFjZmYwZTUiLCJ1c2VySWQiOiIxMTQ0NDk0NjQzIn0=</vt:lpwstr>
  </property>
</Properties>
</file>