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7E68D">
      <w:pPr>
        <w:jc w:val="center"/>
        <w:rPr>
          <w:rFonts w:hint="default" w:eastAsia="宋体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义乌市中心医院定制家具清单</w:t>
      </w:r>
    </w:p>
    <w:tbl>
      <w:tblPr>
        <w:tblStyle w:val="4"/>
        <w:tblW w:w="136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352"/>
        <w:gridCol w:w="1408"/>
        <w:gridCol w:w="1764"/>
        <w:gridCol w:w="6929"/>
        <w:gridCol w:w="763"/>
        <w:gridCol w:w="696"/>
      </w:tblGrid>
      <w:tr w14:paraId="7C6B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D711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3AC9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B599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参考图片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1FA9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4DF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7768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E12A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 w14:paraId="11D8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773A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95DAD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仓库柜（吊柜）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93AC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"C:\\Users\\zjkp\\AppData\\Local\\Temp\\ksohtml\\clip_cell_image6.png"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892175" cy="673100"/>
                  <wp:effectExtent l="0" t="0" r="6985" b="12700"/>
                  <wp:docPr id="26" name="图片 18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8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69C0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1425*280*600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05D1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726C5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A0D7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 w14:paraId="530A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2594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EF20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更衣柜（置物柜）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30D0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"C:\\Users\\zjkp\\AppData\\Local\\Temp\\ksohtml\\clip_cell_image33.png"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85825"/>
                  <wp:effectExtent l="0" t="0" r="9525" b="9525"/>
                  <wp:docPr id="2" name="图片 25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5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BA8F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800*500*2000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F079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D7AFA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96FD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 w14:paraId="492C7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C941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4E30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6A3D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"C:\\Users\\zjkp\\AppData\\Local\\Temp\\ksohtml\\clip_cell_image13.png"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23875" cy="885825"/>
                  <wp:effectExtent l="0" t="0" r="9525" b="9525"/>
                  <wp:docPr id="5" name="图片 19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9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9DF7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600*400*2380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064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058B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35C5E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 w14:paraId="7BC49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919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2D04E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C0DF5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"C:\\Users\\zjkp\\AppData\\Local\\Temp\\ksohtml\\clip_cell_image12.png"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85825"/>
                  <wp:effectExtent l="0" t="0" r="9525" b="9525"/>
                  <wp:docPr id="4" name="图片 23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3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3C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850*420*1850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35F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8743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46C9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D00A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0D77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3AC9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文件柜（吊柜）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9BB1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"C:\\Users\\zjkp\\AppData\\Local\\Temp\\ksohtml\\clip_cell_image32.png"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885825"/>
                  <wp:effectExtent l="0" t="0" r="0" b="9525"/>
                  <wp:docPr id="6" name="图片 21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1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050F8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1000*280*600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3CF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970E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861D7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504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9F2E7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73B3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物品柜（吊柜）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4ADF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"C:\\Users\\zjkp\\AppData\\Local\\Temp\\ksohtml\\clip_cell_image7.png"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742950" cy="885825"/>
                  <wp:effectExtent l="0" t="0" r="0" b="9525"/>
                  <wp:docPr id="7" name="图片 22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2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B444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1000*280*600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E051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5C767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2112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5FC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A8A4B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07F53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置物柜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13162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"C:\\Users\\zjkp\\AppData\\Local\\Temp\\ksohtml\\clip_cell_image12.png"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85825"/>
                  <wp:effectExtent l="0" t="0" r="9525" b="9525"/>
                  <wp:docPr id="8" name="图片 23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3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C852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800*500*2000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BCA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89173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13E2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90B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51FB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2063F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药品储物柜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EE73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"C:\\Users\\zjkp\\AppData\\Local\\Temp\\ksohtml\\clip_cell_image34.png"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85825"/>
                  <wp:effectExtent l="0" t="0" r="9525" b="9525"/>
                  <wp:docPr id="9" name="图片 24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4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F615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800*500*2000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6369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DC79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20EF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</w:tr>
      <w:tr w14:paraId="01C8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9F70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F625F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生活区（值班室）物品架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0739A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instrText xml:space="preserve">INCLUDEPICTURE \d "C:\\Users\\zjkp\\AppData\\Local\\Temp\\ksohtml\\clip_cell_image11.png" \* MERGEFORMATINET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885825"/>
                  <wp:effectExtent l="0" t="0" r="9525" b="9525"/>
                  <wp:docPr id="10" name="图片 26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6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B8CF9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850*420*1850</w:t>
            </w:r>
          </w:p>
        </w:tc>
        <w:tc>
          <w:tcPr>
            <w:tcW w:w="6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7B7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1、基材：采用E0 级实木多层板。符合GB 18580-2017《室内装饰装修材料 人造板及其制品中甲醛释放限量》标准、GB/T 35601-2017 《绿色产品评价》要求，其中甲醛释放量≤0.025mg/m³ , 挥发性有机化合物（72h）：苯、甲苯、二甲苯、TVOC 不得检出。 顶板层板厚度≥ 25mm，其余板材厚度≥18mm。2、饰面：选用优质耐磨三聚氰胺浸渍饰面，硬度高，耐磨、耐热性好，表面平滑光洁，易维护清洗。3、封边：2mm厚ABS激光封边条；符合 QB/T  4463-2013《家具用封边条技术要求》标准，耐开裂性（耐龟裂性）1 级，耐光色牢度（灰色样卡）≥4 级，甲醛释放量&lt; 0.1mg/L、可迁移元素可溶性重金属（镉、铬、汞、砷、锑、硒）、邻苯二甲酸酯均不得检出。4、五金：采用优质五金配件（BMB、海福乐、DTC 或同等及以上品牌），其中（铰链、导轨、螺丝、三合一偏心连接件）须通过乙酸盐雾试验法标准，且检测结果不低于以下指标：乙酸盐雾测试 180 小时或以上耐腐蚀等级达 10 级；铰链必须带缓冲功能。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581B5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64D5C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</w:t>
            </w:r>
          </w:p>
        </w:tc>
      </w:tr>
    </w:tbl>
    <w:p w14:paraId="04059589"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93F8B"/>
    <w:rsid w:val="2CBD3F85"/>
    <w:rsid w:val="432205B2"/>
    <w:rsid w:val="48E32F27"/>
    <w:rsid w:val="4B4340EE"/>
    <w:rsid w:val="53266516"/>
    <w:rsid w:val="75F36DE8"/>
    <w:rsid w:val="792A7C3F"/>
    <w:rsid w:val="7A7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outlineLvl w:val="3"/>
    </w:pPr>
    <w:rPr>
      <w:rFonts w:ascii="Times New Roman" w:hAnsi="Times New Roman"/>
      <w:b/>
      <w:iCs/>
      <w:sz w:val="28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Courier New"/>
      <w:szCs w:val="20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4"/>
    <w:basedOn w:val="1"/>
    <w:next w:val="3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3333</Words>
  <Characters>4108</Characters>
  <Lines>0</Lines>
  <Paragraphs>0</Paragraphs>
  <TotalTime>3</TotalTime>
  <ScaleCrop>false</ScaleCrop>
  <LinksUpToDate>false</LinksUpToDate>
  <CharactersWithSpaces>4286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2025-11-19T06:08:00Z</dcterms:created>
  <dc:creator>Administrator</dc:creator>
  <cp:lastModifiedBy>rabbit</cp:lastModifiedBy>
  <dcterms:modified xsi:type="dcterms:W3CDTF">2026-06-25T02:10:40Z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eyJoZGlkIjoiMjM3YzJmYmQ2ZDZiODZhNDhlYjY5NTgxNDg0NWYzOTIiLCJ1c2VySWQiOiIxMjM5NjgwOTMyIn0=</vt:lpwstr>
  </property>
  <property fmtid="{D5CDD505-2E9C-101B-9397-08002B2CF9AE}" pid="4" name="ICV">
    <vt:lpwstr>91305135D0EE4C3DAFA544066677B713_13</vt:lpwstr>
  </property>
</Properties>
</file>