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4FC7F">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cs="宋体"/>
          <w:b/>
          <w:bCs/>
          <w:color w:val="auto"/>
          <w:kern w:val="2"/>
          <w:sz w:val="32"/>
          <w:szCs w:val="32"/>
          <w:highlight w:val="none"/>
          <w:shd w:val="clear" w:color="auto" w:fill="FFFFFF"/>
          <w:lang w:val="en-US" w:eastAsia="zh-CN" w:bidi="ar-SA"/>
        </w:rPr>
        <w:t>义乌市中心医院关于职工活动中心咖啡、烘焙服务经营项目的采购公告</w:t>
      </w:r>
    </w:p>
    <w:p w14:paraId="296D4BE5">
      <w:pPr>
        <w:pStyle w:val="11"/>
        <w:keepNext w:val="0"/>
        <w:keepLines w:val="0"/>
        <w:pageBreakBefore w:val="0"/>
        <w:widowControl/>
        <w:suppressLineNumbers w:val="0"/>
        <w:kinsoku/>
        <w:wordWrap/>
        <w:overflowPunct/>
        <w:topLinePunct w:val="0"/>
        <w:autoSpaceDE/>
        <w:autoSpaceDN/>
        <w:bidi w:val="0"/>
        <w:adjustRightInd/>
        <w:snapToGrid/>
        <w:spacing w:line="360" w:lineRule="auto"/>
        <w:ind w:left="0" w:firstLine="369"/>
        <w:jc w:val="left"/>
        <w:textAlignment w:val="center"/>
        <w:rPr>
          <w:rFonts w:hint="eastAsia" w:ascii="Calibri" w:hAnsi="宋体" w:eastAsia="宋体" w:cs="Times New Roman"/>
          <w:color w:val="auto"/>
          <w:kern w:val="2"/>
          <w:sz w:val="24"/>
          <w:szCs w:val="24"/>
          <w:highlight w:val="none"/>
          <w:lang w:val="en-US" w:eastAsia="zh-CN" w:bidi="ar-SA"/>
        </w:rPr>
      </w:pPr>
      <w:r>
        <w:rPr>
          <w:rFonts w:hint="eastAsia" w:ascii="Calibri" w:hAnsi="宋体" w:eastAsia="宋体" w:cs="Times New Roman"/>
          <w:color w:val="auto"/>
          <w:kern w:val="2"/>
          <w:sz w:val="24"/>
          <w:szCs w:val="24"/>
          <w:highlight w:val="none"/>
          <w:lang w:val="en-US" w:eastAsia="zh-CN" w:bidi="ar-SA"/>
        </w:rPr>
        <w:t>为进一步落实医院人文关怀，提升职工幸福感与归属感，为一线医护人员提供便捷、温暖、健康的工间休憩空间，职工活动中心内</w:t>
      </w:r>
      <w:r>
        <w:rPr>
          <w:rFonts w:hint="eastAsia" w:hAnsi="宋体" w:cs="Times New Roman"/>
          <w:color w:val="auto"/>
          <w:kern w:val="2"/>
          <w:sz w:val="24"/>
          <w:szCs w:val="24"/>
          <w:highlight w:val="none"/>
          <w:lang w:val="en-US" w:eastAsia="zh-CN" w:bidi="ar-SA"/>
        </w:rPr>
        <w:t>将</w:t>
      </w:r>
      <w:r>
        <w:rPr>
          <w:rFonts w:hint="eastAsia" w:ascii="Calibri" w:hAnsi="宋体" w:eastAsia="宋体" w:cs="Times New Roman"/>
          <w:color w:val="auto"/>
          <w:kern w:val="2"/>
          <w:sz w:val="24"/>
          <w:szCs w:val="24"/>
          <w:highlight w:val="none"/>
          <w:lang w:val="en-US" w:eastAsia="zh-CN" w:bidi="ar-SA"/>
        </w:rPr>
        <w:t>开设咖啡</w:t>
      </w:r>
      <w:r>
        <w:rPr>
          <w:rFonts w:hint="eastAsia" w:hAnsi="宋体" w:cs="Times New Roman"/>
          <w:color w:val="auto"/>
          <w:kern w:val="2"/>
          <w:sz w:val="24"/>
          <w:szCs w:val="24"/>
          <w:highlight w:val="none"/>
          <w:lang w:val="en-US" w:eastAsia="zh-CN" w:bidi="ar-SA"/>
        </w:rPr>
        <w:t>、</w:t>
      </w:r>
      <w:r>
        <w:rPr>
          <w:rFonts w:hint="eastAsia" w:ascii="Calibri" w:hAnsi="宋体" w:eastAsia="宋体" w:cs="Times New Roman"/>
          <w:color w:val="auto"/>
          <w:kern w:val="2"/>
          <w:sz w:val="24"/>
          <w:szCs w:val="24"/>
          <w:highlight w:val="none"/>
          <w:lang w:val="en-US" w:eastAsia="zh-CN" w:bidi="ar-SA"/>
        </w:rPr>
        <w:t>烘焙</w:t>
      </w:r>
      <w:r>
        <w:rPr>
          <w:rFonts w:hint="eastAsia" w:hAnsi="宋体" w:cs="Times New Roman"/>
          <w:color w:val="auto"/>
          <w:kern w:val="2"/>
          <w:sz w:val="24"/>
          <w:szCs w:val="24"/>
          <w:highlight w:val="none"/>
          <w:lang w:val="en-US" w:eastAsia="zh-CN" w:bidi="ar-SA"/>
        </w:rPr>
        <w:t>等服务项目</w:t>
      </w:r>
      <w:r>
        <w:rPr>
          <w:rFonts w:hint="eastAsia" w:ascii="Calibri" w:hAnsi="宋体" w:eastAsia="宋体" w:cs="Times New Roman"/>
          <w:color w:val="auto"/>
          <w:kern w:val="2"/>
          <w:sz w:val="24"/>
          <w:szCs w:val="24"/>
          <w:highlight w:val="none"/>
          <w:lang w:val="en-US" w:eastAsia="zh-CN" w:bidi="ar-SA"/>
        </w:rPr>
        <w:t>，</w:t>
      </w:r>
      <w:r>
        <w:rPr>
          <w:rFonts w:hint="eastAsia" w:hAnsi="宋体" w:cs="Times New Roman"/>
          <w:color w:val="auto"/>
          <w:kern w:val="2"/>
          <w:sz w:val="24"/>
          <w:szCs w:val="24"/>
          <w:highlight w:val="none"/>
          <w:lang w:val="en-US" w:eastAsia="zh-CN" w:bidi="ar-SA"/>
        </w:rPr>
        <w:t>现就该经营项目发布采购公告</w:t>
      </w:r>
      <w:r>
        <w:rPr>
          <w:rFonts w:hint="eastAsia" w:ascii="Calibri" w:hAnsi="宋体" w:eastAsia="宋体" w:cs="Times New Roman"/>
          <w:color w:val="auto"/>
          <w:kern w:val="2"/>
          <w:sz w:val="24"/>
          <w:szCs w:val="24"/>
          <w:highlight w:val="none"/>
          <w:lang w:val="en-US" w:eastAsia="zh-CN" w:bidi="ar-SA"/>
        </w:rPr>
        <w:t>。欢迎合格的供应商积极报名参加。</w:t>
      </w:r>
    </w:p>
    <w:p w14:paraId="3FC3A150">
      <w:pPr>
        <w:snapToGrid w:val="0"/>
        <w:spacing w:line="440" w:lineRule="exact"/>
        <w:ind w:firstLine="480" w:firstLineChars="200"/>
        <w:rPr>
          <w:rFonts w:ascii="宋体" w:hAnsi="宋体" w:cs="Arial"/>
          <w:color w:val="auto"/>
          <w:sz w:val="24"/>
          <w:szCs w:val="20"/>
          <w:highlight w:val="none"/>
        </w:rPr>
      </w:pPr>
      <w:r>
        <w:rPr>
          <w:rFonts w:hint="eastAsia" w:ascii="宋体" w:hAnsi="宋体" w:cs="Arial"/>
          <w:color w:val="auto"/>
          <w:sz w:val="24"/>
          <w:highlight w:val="none"/>
          <w:lang w:val="en-US" w:eastAsia="zh-CN"/>
        </w:rPr>
        <w:t>一</w:t>
      </w:r>
      <w:r>
        <w:rPr>
          <w:rFonts w:hint="eastAsia" w:ascii="宋体" w:hAnsi="宋体" w:cs="Arial"/>
          <w:color w:val="auto"/>
          <w:sz w:val="24"/>
          <w:highlight w:val="none"/>
        </w:rPr>
        <w:t>、</w:t>
      </w:r>
      <w:r>
        <w:rPr>
          <w:rFonts w:hint="eastAsia" w:ascii="宋体" w:hAnsi="宋体" w:cs="Arial"/>
          <w:b/>
          <w:color w:val="auto"/>
          <w:sz w:val="24"/>
          <w:highlight w:val="none"/>
        </w:rPr>
        <w:t>采购组织类型：</w:t>
      </w:r>
      <w:r>
        <w:rPr>
          <w:rFonts w:hint="eastAsia" w:ascii="宋体" w:hAnsi="宋体" w:cs="Arial"/>
          <w:b/>
          <w:color w:val="auto"/>
          <w:sz w:val="24"/>
          <w:highlight w:val="none"/>
          <w:lang w:val="en-US" w:eastAsia="zh-CN"/>
        </w:rPr>
        <w:t>分散</w:t>
      </w:r>
      <w:r>
        <w:rPr>
          <w:rFonts w:hint="eastAsia" w:ascii="宋体" w:hAnsi="宋体" w:cs="Arial"/>
          <w:color w:val="auto"/>
          <w:sz w:val="24"/>
          <w:highlight w:val="none"/>
        </w:rPr>
        <w:t>采购</w:t>
      </w:r>
    </w:p>
    <w:p w14:paraId="67EF05E4">
      <w:pPr>
        <w:snapToGrid w:val="0"/>
        <w:spacing w:line="440" w:lineRule="exact"/>
        <w:ind w:firstLine="482" w:firstLineChars="200"/>
        <w:rPr>
          <w:rFonts w:hint="default" w:ascii="宋体" w:hAnsi="宋体" w:cs="Arial"/>
          <w:color w:val="auto"/>
          <w:sz w:val="24"/>
          <w:highlight w:val="none"/>
          <w:lang w:val="en-US"/>
        </w:rPr>
      </w:pPr>
      <w:r>
        <w:rPr>
          <w:rFonts w:hint="eastAsia" w:ascii="宋体" w:hAnsi="宋体" w:cs="Arial"/>
          <w:b/>
          <w:color w:val="auto"/>
          <w:sz w:val="24"/>
          <w:highlight w:val="none"/>
          <w:lang w:val="en-US" w:eastAsia="zh-CN"/>
        </w:rPr>
        <w:t>二</w:t>
      </w:r>
      <w:r>
        <w:rPr>
          <w:rFonts w:hint="eastAsia" w:ascii="宋体" w:hAnsi="宋体" w:cs="Arial"/>
          <w:b/>
          <w:color w:val="auto"/>
          <w:sz w:val="24"/>
          <w:highlight w:val="none"/>
        </w:rPr>
        <w:t>、采购方式：</w:t>
      </w:r>
      <w:r>
        <w:rPr>
          <w:rFonts w:hint="eastAsia" w:ascii="宋体" w:hAnsi="宋体" w:cs="Arial"/>
          <w:b/>
          <w:color w:val="auto"/>
          <w:sz w:val="24"/>
          <w:highlight w:val="none"/>
          <w:lang w:val="en-US" w:eastAsia="zh-CN"/>
        </w:rPr>
        <w:t>综合评分法</w:t>
      </w:r>
    </w:p>
    <w:p w14:paraId="69BE0DE3">
      <w:pPr>
        <w:snapToGrid w:val="0"/>
        <w:spacing w:line="440" w:lineRule="exact"/>
        <w:ind w:firstLine="472" w:firstLineChars="196"/>
        <w:rPr>
          <w:rFonts w:hint="eastAsia" w:ascii="宋体" w:hAnsi="宋体" w:eastAsia="宋体" w:cs="Arial"/>
          <w:b/>
          <w:bCs/>
          <w:color w:val="auto"/>
          <w:sz w:val="24"/>
          <w:highlight w:val="none"/>
          <w:lang w:eastAsia="zh-CN"/>
        </w:rPr>
      </w:pPr>
      <w:r>
        <w:rPr>
          <w:rFonts w:hint="eastAsia" w:ascii="宋体" w:hAnsi="宋体" w:cs="Arial"/>
          <w:b/>
          <w:color w:val="auto"/>
          <w:sz w:val="24"/>
          <w:highlight w:val="none"/>
          <w:lang w:val="en-US" w:eastAsia="zh-CN"/>
        </w:rPr>
        <w:t>三</w:t>
      </w:r>
      <w:r>
        <w:rPr>
          <w:rFonts w:hint="eastAsia" w:ascii="宋体" w:hAnsi="宋体" w:cs="Arial"/>
          <w:b/>
          <w:color w:val="auto"/>
          <w:sz w:val="24"/>
          <w:highlight w:val="none"/>
        </w:rPr>
        <w:t>、</w:t>
      </w:r>
      <w:r>
        <w:rPr>
          <w:rFonts w:hint="eastAsia" w:ascii="宋体" w:hAnsi="宋体" w:cs="Arial"/>
          <w:b/>
          <w:bCs/>
          <w:color w:val="auto"/>
          <w:sz w:val="24"/>
          <w:highlight w:val="none"/>
        </w:rPr>
        <w:t>采购需求一览表</w:t>
      </w:r>
      <w:r>
        <w:rPr>
          <w:rFonts w:hint="eastAsia" w:ascii="宋体" w:hAnsi="宋体" w:cs="Arial"/>
          <w:b/>
          <w:bCs/>
          <w:color w:val="auto"/>
          <w:sz w:val="24"/>
          <w:highlight w:val="none"/>
          <w:lang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3125"/>
        <w:gridCol w:w="1475"/>
        <w:gridCol w:w="3072"/>
      </w:tblGrid>
      <w:tr w14:paraId="312B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50" w:type="dxa"/>
            <w:noWrap w:val="0"/>
            <w:vAlign w:val="center"/>
          </w:tcPr>
          <w:p w14:paraId="290BC00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序号</w:t>
            </w:r>
          </w:p>
        </w:tc>
        <w:tc>
          <w:tcPr>
            <w:tcW w:w="3125" w:type="dxa"/>
            <w:noWrap w:val="0"/>
            <w:vAlign w:val="center"/>
          </w:tcPr>
          <w:p w14:paraId="2FB520B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采购内容</w:t>
            </w:r>
          </w:p>
        </w:tc>
        <w:tc>
          <w:tcPr>
            <w:tcW w:w="1475" w:type="dxa"/>
            <w:noWrap w:val="0"/>
            <w:vAlign w:val="center"/>
          </w:tcPr>
          <w:p w14:paraId="69DE22A9">
            <w:pPr>
              <w:snapToGrid w:val="0"/>
              <w:spacing w:line="440" w:lineRule="exact"/>
              <w:jc w:val="both"/>
              <w:rPr>
                <w:rFonts w:ascii="宋体" w:hAnsi="宋体" w:cs="Arial"/>
                <w:b/>
                <w:bCs/>
                <w:color w:val="auto"/>
                <w:sz w:val="24"/>
                <w:highlight w:val="none"/>
              </w:rPr>
            </w:pPr>
            <w:r>
              <w:rPr>
                <w:rFonts w:hint="eastAsia" w:ascii="宋体" w:hAnsi="宋体" w:cs="Arial"/>
                <w:b/>
                <w:bCs/>
                <w:color w:val="auto"/>
                <w:sz w:val="24"/>
                <w:highlight w:val="none"/>
                <w:lang w:val="en-US" w:eastAsia="zh-CN"/>
              </w:rPr>
              <w:t>服务期限</w:t>
            </w:r>
          </w:p>
        </w:tc>
        <w:tc>
          <w:tcPr>
            <w:tcW w:w="3072" w:type="dxa"/>
            <w:noWrap w:val="0"/>
            <w:vAlign w:val="center"/>
          </w:tcPr>
          <w:p w14:paraId="317CAEB6">
            <w:pPr>
              <w:snapToGrid w:val="0"/>
              <w:spacing w:line="440" w:lineRule="exact"/>
              <w:jc w:val="center"/>
              <w:rPr>
                <w:rFonts w:hint="eastAsia" w:ascii="宋体" w:hAnsi="宋体" w:eastAsia="宋体" w:cs="Arial"/>
                <w:b/>
                <w:bCs/>
                <w:color w:val="auto"/>
                <w:kern w:val="2"/>
                <w:sz w:val="24"/>
                <w:szCs w:val="24"/>
                <w:highlight w:val="none"/>
                <w:lang w:val="en-US" w:eastAsia="zh-CN" w:bidi="ar-SA"/>
              </w:rPr>
            </w:pPr>
            <w:r>
              <w:rPr>
                <w:rFonts w:hint="eastAsia" w:ascii="宋体" w:hAnsi="宋体" w:cs="Arial"/>
                <w:b/>
                <w:bCs/>
                <w:color w:val="auto"/>
                <w:sz w:val="24"/>
                <w:highlight w:val="none"/>
                <w:lang w:val="en-US" w:eastAsia="zh-CN"/>
              </w:rPr>
              <w:t>服务地点</w:t>
            </w:r>
          </w:p>
        </w:tc>
      </w:tr>
      <w:tr w14:paraId="1049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50" w:type="dxa"/>
            <w:noWrap w:val="0"/>
            <w:vAlign w:val="center"/>
          </w:tcPr>
          <w:p w14:paraId="11B7C8DA">
            <w:pPr>
              <w:snapToGrid w:val="0"/>
              <w:spacing w:line="440" w:lineRule="exact"/>
              <w:jc w:val="center"/>
              <w:rPr>
                <w:rFonts w:ascii="宋体" w:hAnsi="宋体" w:cs="Arial"/>
                <w:bCs/>
                <w:color w:val="auto"/>
                <w:sz w:val="24"/>
                <w:highlight w:val="none"/>
              </w:rPr>
            </w:pPr>
            <w:r>
              <w:rPr>
                <w:rFonts w:hint="eastAsia" w:ascii="宋体" w:hAnsi="宋体" w:cs="Arial"/>
                <w:bCs/>
                <w:color w:val="auto"/>
                <w:sz w:val="24"/>
                <w:highlight w:val="none"/>
              </w:rPr>
              <w:t>1</w:t>
            </w:r>
          </w:p>
        </w:tc>
        <w:tc>
          <w:tcPr>
            <w:tcW w:w="3125" w:type="dxa"/>
            <w:noWrap w:val="0"/>
            <w:vAlign w:val="center"/>
          </w:tcPr>
          <w:p w14:paraId="6662B62C">
            <w:pPr>
              <w:snapToGrid w:val="0"/>
              <w:spacing w:line="440" w:lineRule="exact"/>
              <w:jc w:val="center"/>
              <w:rPr>
                <w:rFonts w:hint="default" w:ascii="宋体" w:hAnsi="宋体" w:cs="Arial"/>
                <w:bCs/>
                <w:color w:val="auto"/>
                <w:sz w:val="24"/>
                <w:highlight w:val="none"/>
                <w:lang w:val="en-US"/>
              </w:rPr>
            </w:pPr>
            <w:r>
              <w:rPr>
                <w:rFonts w:hint="eastAsia" w:ascii="宋体" w:hAnsi="宋体" w:cs="宋体"/>
                <w:color w:val="auto"/>
                <w:kern w:val="2"/>
                <w:sz w:val="24"/>
                <w:szCs w:val="24"/>
                <w:highlight w:val="none"/>
                <w:shd w:val="clear" w:color="auto" w:fill="FFFFFF"/>
                <w:lang w:val="en-US" w:eastAsia="zh-CN" w:bidi="ar-SA"/>
              </w:rPr>
              <w:t>职工活动中心咖啡、烘焙服务经营项目</w:t>
            </w:r>
          </w:p>
        </w:tc>
        <w:tc>
          <w:tcPr>
            <w:tcW w:w="1475" w:type="dxa"/>
            <w:noWrap w:val="0"/>
            <w:vAlign w:val="center"/>
          </w:tcPr>
          <w:p w14:paraId="48E8244E">
            <w:pPr>
              <w:snapToGrid w:val="0"/>
              <w:spacing w:line="440" w:lineRule="exact"/>
              <w:jc w:val="center"/>
              <w:rPr>
                <w:rFonts w:hint="default" w:ascii="宋体" w:hAnsi="宋体" w:eastAsia="宋体" w:cs="Arial"/>
                <w:bCs/>
                <w:color w:val="auto"/>
                <w:sz w:val="24"/>
                <w:highlight w:val="none"/>
                <w:lang w:val="en-US" w:eastAsia="zh-CN"/>
              </w:rPr>
            </w:pPr>
            <w:r>
              <w:rPr>
                <w:rFonts w:hint="eastAsia" w:ascii="宋体" w:hAnsi="宋体" w:cs="Arial"/>
                <w:bCs/>
                <w:color w:val="auto"/>
                <w:sz w:val="24"/>
                <w:highlight w:val="none"/>
                <w:lang w:val="en-US" w:eastAsia="zh-CN"/>
              </w:rPr>
              <w:t>1年</w:t>
            </w:r>
          </w:p>
        </w:tc>
        <w:tc>
          <w:tcPr>
            <w:tcW w:w="3072" w:type="dxa"/>
            <w:noWrap w:val="0"/>
            <w:vAlign w:val="center"/>
          </w:tcPr>
          <w:p w14:paraId="33A5611F">
            <w:pPr>
              <w:snapToGrid w:val="0"/>
              <w:spacing w:line="440" w:lineRule="exact"/>
              <w:jc w:val="left"/>
              <w:rPr>
                <w:rFonts w:hint="default" w:ascii="宋体" w:hAnsi="宋体" w:eastAsia="宋体" w:cs="Arial"/>
                <w:bCs/>
                <w:color w:val="auto"/>
                <w:kern w:val="2"/>
                <w:sz w:val="24"/>
                <w:szCs w:val="24"/>
                <w:highlight w:val="none"/>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义乌市中心医院</w:t>
            </w:r>
            <w:r>
              <w:rPr>
                <w:rFonts w:hint="eastAsia" w:ascii="宋体" w:hAnsi="宋体" w:cs="宋体"/>
                <w:color w:val="auto"/>
                <w:kern w:val="2"/>
                <w:sz w:val="24"/>
                <w:szCs w:val="24"/>
                <w:highlight w:val="none"/>
                <w:shd w:val="clear" w:color="auto" w:fill="FFFFFF"/>
                <w:lang w:val="en-US" w:eastAsia="zh-CN" w:bidi="ar-SA"/>
              </w:rPr>
              <w:t>南</w:t>
            </w:r>
            <w:r>
              <w:rPr>
                <w:rFonts w:hint="eastAsia" w:ascii="宋体" w:hAnsi="宋体" w:eastAsia="宋体" w:cs="宋体"/>
                <w:color w:val="auto"/>
                <w:kern w:val="2"/>
                <w:sz w:val="24"/>
                <w:szCs w:val="24"/>
                <w:highlight w:val="none"/>
                <w:shd w:val="clear" w:color="auto" w:fill="FFFFFF"/>
                <w:lang w:val="en-US" w:eastAsia="zh-CN" w:bidi="ar-SA"/>
              </w:rPr>
              <w:t>大门</w:t>
            </w:r>
            <w:r>
              <w:rPr>
                <w:rFonts w:hint="eastAsia" w:ascii="宋体" w:hAnsi="宋体" w:cs="宋体"/>
                <w:color w:val="auto"/>
                <w:kern w:val="2"/>
                <w:sz w:val="24"/>
                <w:szCs w:val="24"/>
                <w:highlight w:val="none"/>
                <w:shd w:val="clear" w:color="auto" w:fill="FFFFFF"/>
                <w:lang w:val="en-US" w:eastAsia="zh-CN" w:bidi="ar-SA"/>
              </w:rPr>
              <w:t>职工活动中心</w:t>
            </w:r>
          </w:p>
        </w:tc>
      </w:tr>
    </w:tbl>
    <w:p w14:paraId="52EFA24D">
      <w:pPr>
        <w:snapToGrid w:val="0"/>
        <w:spacing w:line="440" w:lineRule="exact"/>
        <w:rPr>
          <w:rFonts w:hint="default" w:ascii="宋体" w:hAnsi="宋体" w:cs="Arial"/>
          <w:b/>
          <w:color w:val="auto"/>
          <w:sz w:val="24"/>
          <w:highlight w:val="none"/>
          <w:lang w:val="en-US" w:eastAsia="zh-CN"/>
        </w:rPr>
      </w:pPr>
    </w:p>
    <w:p w14:paraId="1A5340E8">
      <w:pPr>
        <w:snapToGrid w:val="0"/>
        <w:spacing w:line="440" w:lineRule="exact"/>
        <w:ind w:firstLine="482" w:firstLineChars="200"/>
        <w:rPr>
          <w:rFonts w:ascii="宋体" w:hAnsi="宋体" w:cs="Arial"/>
          <w:b/>
          <w:bCs/>
          <w:color w:val="auto"/>
          <w:sz w:val="24"/>
          <w:szCs w:val="20"/>
          <w:highlight w:val="none"/>
        </w:rPr>
      </w:pPr>
      <w:r>
        <w:rPr>
          <w:rFonts w:hint="eastAsia" w:ascii="宋体" w:hAnsi="宋体" w:cs="Arial"/>
          <w:b/>
          <w:color w:val="auto"/>
          <w:sz w:val="24"/>
          <w:highlight w:val="none"/>
          <w:lang w:val="en-US" w:eastAsia="zh-CN"/>
        </w:rPr>
        <w:t>四</w:t>
      </w:r>
      <w:r>
        <w:rPr>
          <w:rFonts w:hint="eastAsia" w:ascii="宋体" w:hAnsi="宋体" w:cs="Arial"/>
          <w:color w:val="auto"/>
          <w:sz w:val="24"/>
          <w:highlight w:val="none"/>
        </w:rPr>
        <w:t>、</w:t>
      </w:r>
      <w:r>
        <w:rPr>
          <w:rFonts w:hint="eastAsia" w:ascii="宋体" w:hAnsi="宋体" w:cs="Arial"/>
          <w:b/>
          <w:bCs/>
          <w:color w:val="auto"/>
          <w:sz w:val="24"/>
          <w:highlight w:val="none"/>
        </w:rPr>
        <w:t>合格投标人的资格要求：</w:t>
      </w:r>
    </w:p>
    <w:p w14:paraId="3B8C90A4">
      <w:pPr>
        <w:spacing w:line="360" w:lineRule="auto"/>
        <w:ind w:firstLine="480" w:firstLineChars="200"/>
        <w:rPr>
          <w:rFonts w:hAnsi="宋体"/>
          <w:color w:val="auto"/>
          <w:sz w:val="24"/>
          <w:highlight w:val="none"/>
        </w:rPr>
      </w:pPr>
      <w:r>
        <w:rPr>
          <w:rFonts w:hint="eastAsia" w:hAnsi="宋体"/>
          <w:color w:val="auto"/>
          <w:sz w:val="24"/>
          <w:highlight w:val="none"/>
          <w:lang w:val="en-US" w:eastAsia="zh-CN"/>
        </w:rPr>
        <w:t>1.</w:t>
      </w:r>
      <w:r>
        <w:rPr>
          <w:rFonts w:hint="eastAsia" w:ascii="宋体" w:hAnsi="宋体" w:eastAsia="宋体" w:cs="Times New Roman"/>
          <w:bCs/>
          <w:color w:val="auto"/>
          <w:sz w:val="24"/>
          <w:highlight w:val="none"/>
          <w14:ligatures w14:val="none"/>
        </w:rPr>
        <w:t>满足《中华人民共和国政府采购法》第二十二条要求</w:t>
      </w:r>
      <w:r>
        <w:rPr>
          <w:rFonts w:hAnsi="宋体"/>
          <w:color w:val="auto"/>
          <w:sz w:val="24"/>
          <w:highlight w:val="none"/>
        </w:rPr>
        <w:t>。</w:t>
      </w:r>
    </w:p>
    <w:p w14:paraId="6F38C6AC">
      <w:pPr>
        <w:spacing w:line="360" w:lineRule="auto"/>
        <w:ind w:firstLine="480" w:firstLineChars="200"/>
        <w:rPr>
          <w:rFonts w:hint="eastAsia"/>
          <w:color w:val="auto"/>
          <w:sz w:val="24"/>
          <w:highlight w:val="none"/>
        </w:rPr>
      </w:pPr>
      <w:r>
        <w:rPr>
          <w:rFonts w:hint="eastAsia"/>
          <w:color w:val="auto"/>
          <w:sz w:val="24"/>
          <w:highlight w:val="none"/>
          <w:lang w:val="en-US" w:eastAsia="zh-CN"/>
        </w:rPr>
        <w:t>2.</w:t>
      </w:r>
      <w:r>
        <w:rPr>
          <w:rFonts w:hint="eastAsia"/>
          <w:color w:val="auto"/>
          <w:sz w:val="24"/>
          <w:highlight w:val="none"/>
        </w:rPr>
        <w:t>参加政府采购活动前三年内，在经营活动中没有重大违法记录。</w:t>
      </w:r>
    </w:p>
    <w:p w14:paraId="5D2FE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olor w:val="auto"/>
          <w:sz w:val="24"/>
          <w:highlight w:val="none"/>
          <w:lang w:eastAsia="zh-CN"/>
        </w:rPr>
      </w:pPr>
      <w:r>
        <w:rPr>
          <w:rFonts w:hint="eastAsia"/>
          <w:color w:val="auto"/>
          <w:sz w:val="24"/>
          <w:highlight w:val="none"/>
          <w:lang w:val="en-US" w:eastAsia="zh-CN"/>
        </w:rPr>
        <w:t>3.</w:t>
      </w:r>
      <w:r>
        <w:rPr>
          <w:rFonts w:hint="eastAsia" w:hAnsi="宋体"/>
          <w:color w:val="auto"/>
          <w:sz w:val="24"/>
          <w:highlight w:val="none"/>
        </w:rPr>
        <w:t>本次招标项目不接受联合体投标，不允许转包和分包</w:t>
      </w:r>
      <w:r>
        <w:rPr>
          <w:rFonts w:hint="eastAsia" w:hAnsi="宋体"/>
          <w:color w:val="auto"/>
          <w:sz w:val="24"/>
          <w:highlight w:val="none"/>
          <w:lang w:eastAsia="zh-CN"/>
        </w:rPr>
        <w:t>。</w:t>
      </w:r>
    </w:p>
    <w:p w14:paraId="3301B63D">
      <w:pPr>
        <w:pStyle w:val="11"/>
        <w:keepNext w:val="0"/>
        <w:keepLines w:val="0"/>
        <w:widowControl/>
        <w:suppressLineNumbers w:val="0"/>
        <w:spacing w:line="312" w:lineRule="auto"/>
        <w:ind w:left="479" w:leftChars="228" w:firstLine="65" w:firstLineChars="27"/>
        <w:jc w:val="left"/>
        <w:rPr>
          <w:rStyle w:val="16"/>
          <w:rFonts w:hint="eastAsia" w:ascii="宋体" w:hAnsi="宋体" w:eastAsia="宋体" w:cs="宋体"/>
          <w:color w:val="auto"/>
          <w:sz w:val="24"/>
          <w:szCs w:val="24"/>
          <w:highlight w:val="none"/>
        </w:rPr>
      </w:pPr>
      <w:r>
        <w:rPr>
          <w:rStyle w:val="16"/>
          <w:rFonts w:hint="eastAsia" w:ascii="宋体" w:hAnsi="宋体" w:cs="宋体"/>
          <w:color w:val="auto"/>
          <w:sz w:val="24"/>
          <w:szCs w:val="24"/>
          <w:highlight w:val="none"/>
          <w:lang w:val="en-US" w:eastAsia="zh-CN"/>
        </w:rPr>
        <w:t>五</w:t>
      </w:r>
      <w:r>
        <w:rPr>
          <w:rStyle w:val="16"/>
          <w:rFonts w:hint="eastAsia" w:ascii="宋体" w:hAnsi="宋体" w:eastAsia="宋体" w:cs="宋体"/>
          <w:color w:val="auto"/>
          <w:sz w:val="24"/>
          <w:szCs w:val="24"/>
          <w:highlight w:val="none"/>
        </w:rPr>
        <w:t>、采购文件的获取：</w:t>
      </w:r>
    </w:p>
    <w:p w14:paraId="3139AF0B">
      <w:pPr>
        <w:pStyle w:val="11"/>
        <w:keepNext w:val="0"/>
        <w:keepLines w:val="0"/>
        <w:widowControl/>
        <w:suppressLineNumbers w:val="0"/>
        <w:spacing w:line="312" w:lineRule="auto"/>
        <w:ind w:firstLine="480" w:firstLineChars="200"/>
        <w:jc w:val="left"/>
        <w:rPr>
          <w:color w:val="auto"/>
          <w:highlight w:val="none"/>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人不再向投标人提供纸质招标文件，请投标人自行在</w:t>
      </w:r>
      <w:r>
        <w:rPr>
          <w:rFonts w:hint="eastAsia" w:ascii="新宋体" w:hAnsi="新宋体" w:eastAsia="新宋体" w:cs="Courier New"/>
          <w:color w:val="auto"/>
          <w:kern w:val="2"/>
          <w:sz w:val="24"/>
          <w:szCs w:val="21"/>
          <w:highlight w:val="none"/>
          <w:lang w:val="en-US" w:eastAsia="zh-CN" w:bidi="ar-SA"/>
        </w:rPr>
        <w:t>义乌市中心医院官网(http://www.ywzxyy.com/)</w:t>
      </w:r>
      <w:r>
        <w:rPr>
          <w:rFonts w:hint="eastAsia" w:ascii="宋体" w:hAnsi="宋体" w:eastAsia="宋体" w:cs="宋体"/>
          <w:color w:val="auto"/>
          <w:sz w:val="24"/>
          <w:szCs w:val="24"/>
          <w:highlight w:val="none"/>
        </w:rPr>
        <w:t>下载</w:t>
      </w:r>
      <w:r>
        <w:rPr>
          <w:rFonts w:hint="eastAsia" w:ascii="宋体" w:hAnsi="宋体" w:cs="宋体"/>
          <w:color w:val="auto"/>
          <w:sz w:val="24"/>
          <w:szCs w:val="24"/>
          <w:highlight w:val="none"/>
          <w:lang w:val="en-US" w:eastAsia="zh-CN"/>
        </w:rPr>
        <w:t>获取</w:t>
      </w:r>
      <w:r>
        <w:rPr>
          <w:rFonts w:hint="eastAsia" w:ascii="宋体" w:hAnsi="宋体" w:eastAsia="宋体" w:cs="宋体"/>
          <w:color w:val="auto"/>
          <w:sz w:val="24"/>
          <w:szCs w:val="24"/>
          <w:highlight w:val="none"/>
        </w:rPr>
        <w:t>。</w:t>
      </w:r>
    </w:p>
    <w:p w14:paraId="341ABE3E">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六</w:t>
      </w:r>
      <w:r>
        <w:rPr>
          <w:rStyle w:val="16"/>
          <w:rFonts w:hint="eastAsia" w:ascii="宋体" w:hAnsi="宋体" w:eastAsia="宋体" w:cs="宋体"/>
          <w:color w:val="auto"/>
          <w:sz w:val="24"/>
          <w:szCs w:val="24"/>
          <w:highlight w:val="none"/>
        </w:rPr>
        <w:t>、投标截止时间和地点</w:t>
      </w:r>
      <w:r>
        <w:rPr>
          <w:rFonts w:hint="eastAsia" w:ascii="宋体" w:hAnsi="宋体" w:eastAsia="宋体" w:cs="宋体"/>
          <w:color w:val="auto"/>
          <w:sz w:val="24"/>
          <w:szCs w:val="24"/>
          <w:highlight w:val="none"/>
        </w:rPr>
        <w:t>：</w:t>
      </w:r>
    </w:p>
    <w:p w14:paraId="730706F1">
      <w:pPr>
        <w:pStyle w:val="11"/>
        <w:keepNext w:val="0"/>
        <w:keepLines w:val="0"/>
        <w:widowControl/>
        <w:suppressLineNumbers w:val="0"/>
        <w:spacing w:line="312" w:lineRule="auto"/>
        <w:ind w:left="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本次招标采用不见面招标，请各供应商按技术标和商务标分开装订密封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技术标和商务标</w:t>
      </w:r>
      <w:r>
        <w:rPr>
          <w:rStyle w:val="19"/>
          <w:rFonts w:ascii="Times New Roman" w:hAnsi="Times New Roman" w:eastAsia="宋体"/>
          <w:b w:val="0"/>
          <w:i w:val="0"/>
          <w:caps w:val="0"/>
          <w:color w:val="auto"/>
          <w:spacing w:val="0"/>
          <w:w w:val="100"/>
          <w:kern w:val="2"/>
          <w:sz w:val="24"/>
          <w:szCs w:val="24"/>
          <w:highlight w:val="none"/>
          <w:lang w:val="en-US" w:eastAsia="zh-CN" w:bidi="ar-SA"/>
        </w:rPr>
        <w:t>正本一份副本</w:t>
      </w:r>
      <w:r>
        <w:rPr>
          <w:rStyle w:val="19"/>
          <w:rFonts w:hint="eastAsia" w:ascii="Times New Roman" w:hAnsi="Times New Roman"/>
          <w:b w:val="0"/>
          <w:i w:val="0"/>
          <w:caps w:val="0"/>
          <w:color w:val="auto"/>
          <w:spacing w:val="0"/>
          <w:w w:val="100"/>
          <w:kern w:val="2"/>
          <w:sz w:val="24"/>
          <w:szCs w:val="24"/>
          <w:highlight w:val="none"/>
          <w:lang w:val="en-US" w:eastAsia="zh-CN" w:bidi="ar-SA"/>
        </w:rPr>
        <w:t>二</w:t>
      </w:r>
      <w:r>
        <w:rPr>
          <w:rStyle w:val="19"/>
          <w:rFonts w:ascii="Times New Roman" w:hAnsi="Times New Roman" w:eastAsia="宋体"/>
          <w:b w:val="0"/>
          <w:i w:val="0"/>
          <w:caps w:val="0"/>
          <w:color w:val="auto"/>
          <w:spacing w:val="0"/>
          <w:w w:val="100"/>
          <w:kern w:val="2"/>
          <w:sz w:val="24"/>
          <w:szCs w:val="24"/>
          <w:highlight w:val="none"/>
          <w:lang w:val="en-US" w:eastAsia="zh-CN" w:bidi="ar-SA"/>
        </w:rPr>
        <w:t>份</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，密封袋封面处注明投标公司、技术标、商务标、联系人、联系方式，并在封标处盖章。请将标书在202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日17时前寄送至义乌市中心医院行政楼一楼109室采购招标中心（江东中路699号）。</w:t>
      </w:r>
      <w:r>
        <w:rPr>
          <w:rFonts w:hint="eastAsia" w:ascii="宋体" w:hAnsi="宋体" w:cs="宋体"/>
          <w:color w:val="auto"/>
          <w:sz w:val="24"/>
          <w:szCs w:val="24"/>
          <w:highlight w:val="none"/>
          <w:lang w:val="en-US" w:eastAsia="zh-CN"/>
        </w:rPr>
        <w:t>收件</w:t>
      </w:r>
      <w:r>
        <w:rPr>
          <w:rFonts w:hint="eastAsia" w:ascii="宋体" w:hAnsi="宋体" w:eastAsia="宋体" w:cs="宋体"/>
          <w:color w:val="auto"/>
          <w:sz w:val="24"/>
          <w:szCs w:val="24"/>
          <w:highlight w:val="none"/>
        </w:rPr>
        <w:t>人：</w:t>
      </w:r>
      <w:r>
        <w:rPr>
          <w:rFonts w:hint="eastAsia" w:ascii="宋体" w:hAnsi="宋体" w:cs="宋体"/>
          <w:color w:val="auto"/>
          <w:sz w:val="24"/>
          <w:szCs w:val="24"/>
          <w:highlight w:val="none"/>
          <w:lang w:val="en-US" w:eastAsia="zh-CN"/>
        </w:rPr>
        <w:t>金</w:t>
      </w:r>
      <w:r>
        <w:rPr>
          <w:rFonts w:hint="eastAsia" w:ascii="宋体" w:hAnsi="宋体" w:eastAsia="宋体" w:cs="宋体"/>
          <w:color w:val="auto"/>
          <w:sz w:val="24"/>
          <w:szCs w:val="24"/>
          <w:highlight w:val="none"/>
        </w:rPr>
        <w:t>老师，联系电话：0579-85208030 。</w:t>
      </w:r>
    </w:p>
    <w:p w14:paraId="4A506F5D">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七</w:t>
      </w:r>
      <w:r>
        <w:rPr>
          <w:rStyle w:val="16"/>
          <w:rFonts w:hint="eastAsia" w:ascii="宋体" w:hAnsi="宋体" w:eastAsia="宋体" w:cs="宋体"/>
          <w:color w:val="auto"/>
          <w:sz w:val="24"/>
          <w:szCs w:val="24"/>
          <w:highlight w:val="none"/>
        </w:rPr>
        <w:t>、开标时间及</w:t>
      </w:r>
      <w:r>
        <w:rPr>
          <w:rStyle w:val="16"/>
          <w:rFonts w:hint="eastAsia" w:ascii="宋体" w:hAnsi="宋体" w:cs="宋体"/>
          <w:color w:val="auto"/>
          <w:sz w:val="24"/>
          <w:szCs w:val="24"/>
          <w:highlight w:val="none"/>
          <w:lang w:val="en-US" w:eastAsia="zh-CN"/>
        </w:rPr>
        <w:t>地址</w:t>
      </w:r>
      <w:r>
        <w:rPr>
          <w:rStyle w:val="16"/>
          <w:rFonts w:hint="eastAsia" w:ascii="宋体" w:hAnsi="宋体" w:eastAsia="宋体" w:cs="宋体"/>
          <w:color w:val="auto"/>
          <w:sz w:val="24"/>
          <w:szCs w:val="24"/>
          <w:highlight w:val="none"/>
        </w:rPr>
        <w:t>：</w:t>
      </w:r>
    </w:p>
    <w:p w14:paraId="0305D1A5">
      <w:pPr>
        <w:pStyle w:val="11"/>
        <w:keepNext w:val="0"/>
        <w:keepLines w:val="0"/>
        <w:widowControl/>
        <w:suppressLineNumbers w:val="0"/>
        <w:spacing w:line="375" w:lineRule="atLeast"/>
        <w:ind w:left="479" w:leftChars="228" w:firstLine="64" w:firstLineChars="27"/>
        <w:rPr>
          <w:rFonts w:hint="default" w:eastAsia="宋体"/>
          <w:color w:val="auto"/>
          <w:highlight w:val="none"/>
          <w:lang w:val="en-US" w:eastAsia="zh-CN"/>
        </w:rPr>
      </w:pPr>
      <w:r>
        <w:rPr>
          <w:rFonts w:hint="eastAsia" w:ascii="宋体" w:hAnsi="宋体" w:eastAsia="宋体" w:cs="宋体"/>
          <w:color w:val="auto"/>
          <w:sz w:val="24"/>
          <w:szCs w:val="24"/>
          <w:highlight w:val="none"/>
        </w:rPr>
        <w:t>本项目开标时间：</w:t>
      </w:r>
      <w:r>
        <w:rPr>
          <w:rStyle w:val="16"/>
          <w:rFonts w:hint="eastAsia" w:ascii="宋体" w:hAnsi="宋体" w:eastAsia="宋体" w:cs="宋体"/>
          <w:color w:val="auto"/>
          <w:sz w:val="24"/>
          <w:szCs w:val="24"/>
          <w:highlight w:val="none"/>
          <w:u w:val="single"/>
        </w:rPr>
        <w:t>202</w:t>
      </w:r>
      <w:r>
        <w:rPr>
          <w:rStyle w:val="16"/>
          <w:rFonts w:hint="eastAsia" w:ascii="宋体" w:hAnsi="宋体" w:cs="宋体"/>
          <w:color w:val="auto"/>
          <w:sz w:val="24"/>
          <w:szCs w:val="24"/>
          <w:highlight w:val="none"/>
          <w:u w:val="single"/>
          <w:lang w:val="en-US" w:eastAsia="zh-CN"/>
        </w:rPr>
        <w:t>6</w:t>
      </w:r>
      <w:r>
        <w:rPr>
          <w:rStyle w:val="16"/>
          <w:rFonts w:hint="eastAsia" w:ascii="宋体" w:hAnsi="宋体" w:eastAsia="宋体" w:cs="宋体"/>
          <w:color w:val="auto"/>
          <w:sz w:val="24"/>
          <w:szCs w:val="24"/>
          <w:highlight w:val="none"/>
          <w:u w:val="single"/>
        </w:rPr>
        <w:t>年</w:t>
      </w:r>
      <w:r>
        <w:rPr>
          <w:rStyle w:val="16"/>
          <w:rFonts w:hint="eastAsia" w:ascii="宋体" w:hAnsi="宋体" w:cs="宋体"/>
          <w:color w:val="auto"/>
          <w:sz w:val="24"/>
          <w:szCs w:val="24"/>
          <w:highlight w:val="none"/>
          <w:u w:val="single"/>
          <w:lang w:val="en-US" w:eastAsia="zh-CN"/>
        </w:rPr>
        <w:t>6</w:t>
      </w:r>
      <w:r>
        <w:rPr>
          <w:rStyle w:val="16"/>
          <w:rFonts w:hint="eastAsia" w:ascii="宋体" w:hAnsi="宋体" w:eastAsia="宋体" w:cs="宋体"/>
          <w:color w:val="auto"/>
          <w:sz w:val="24"/>
          <w:szCs w:val="24"/>
          <w:highlight w:val="none"/>
          <w:u w:val="single"/>
        </w:rPr>
        <w:t>月</w:t>
      </w:r>
      <w:r>
        <w:rPr>
          <w:rStyle w:val="16"/>
          <w:rFonts w:hint="eastAsia" w:ascii="宋体" w:hAnsi="宋体" w:cs="宋体"/>
          <w:color w:val="auto"/>
          <w:sz w:val="24"/>
          <w:szCs w:val="24"/>
          <w:highlight w:val="none"/>
          <w:u w:val="single"/>
          <w:lang w:val="en-US" w:eastAsia="zh-CN"/>
        </w:rPr>
        <w:t>16</w:t>
      </w:r>
      <w:r>
        <w:rPr>
          <w:rStyle w:val="16"/>
          <w:rFonts w:hint="eastAsia" w:ascii="宋体" w:hAnsi="宋体" w:eastAsia="宋体" w:cs="宋体"/>
          <w:color w:val="auto"/>
          <w:sz w:val="24"/>
          <w:szCs w:val="24"/>
          <w:highlight w:val="none"/>
          <w:u w:val="single"/>
        </w:rPr>
        <w:t>日</w:t>
      </w:r>
      <w:r>
        <w:rPr>
          <w:rStyle w:val="16"/>
          <w:rFonts w:hint="eastAsia" w:ascii="宋体" w:hAnsi="宋体" w:cs="宋体"/>
          <w:color w:val="auto"/>
          <w:sz w:val="24"/>
          <w:szCs w:val="24"/>
          <w:highlight w:val="none"/>
          <w:u w:val="single"/>
          <w:lang w:val="en-US" w:eastAsia="zh-CN"/>
        </w:rPr>
        <w:t>9</w:t>
      </w:r>
      <w:r>
        <w:rPr>
          <w:rStyle w:val="16"/>
          <w:rFonts w:hint="eastAsia" w:ascii="宋体" w:hAnsi="宋体" w:eastAsia="宋体" w:cs="宋体"/>
          <w:color w:val="auto"/>
          <w:sz w:val="24"/>
          <w:szCs w:val="24"/>
          <w:highlight w:val="none"/>
          <w:u w:val="single"/>
        </w:rPr>
        <w:t>时</w:t>
      </w:r>
      <w:r>
        <w:rPr>
          <w:rStyle w:val="16"/>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本项目不要求投标人到开标现场开标</w:t>
      </w:r>
      <w:r>
        <w:rPr>
          <w:rFonts w:hint="eastAsia" w:ascii="宋体" w:hAnsi="宋体" w:cs="宋体"/>
          <w:color w:val="auto"/>
          <w:sz w:val="24"/>
          <w:szCs w:val="24"/>
          <w:highlight w:val="none"/>
          <w:lang w:eastAsia="zh-CN"/>
        </w:rPr>
        <w:t>。</w:t>
      </w:r>
      <w:r>
        <w:rPr>
          <w:rStyle w:val="16"/>
          <w:rFonts w:hint="eastAsia" w:ascii="宋体" w:hAnsi="宋体" w:cs="宋体"/>
          <w:color w:val="auto"/>
          <w:sz w:val="24"/>
          <w:szCs w:val="24"/>
          <w:highlight w:val="none"/>
          <w:lang w:val="en-US" w:eastAsia="zh-CN"/>
        </w:rPr>
        <w:t>开标地址：义乌市中心医院行政楼1楼109室。若</w:t>
      </w:r>
      <w:r>
        <w:rPr>
          <w:rFonts w:hint="eastAsia" w:ascii="宋体" w:hAnsi="宋体" w:eastAsia="宋体" w:cs="宋体"/>
          <w:color w:val="auto"/>
          <w:sz w:val="24"/>
          <w:szCs w:val="24"/>
          <w:highlight w:val="none"/>
        </w:rPr>
        <w:t>本项目开标时间</w:t>
      </w:r>
      <w:r>
        <w:rPr>
          <w:rFonts w:hint="eastAsia" w:ascii="宋体" w:hAnsi="宋体" w:cs="宋体"/>
          <w:color w:val="auto"/>
          <w:sz w:val="24"/>
          <w:szCs w:val="24"/>
          <w:highlight w:val="none"/>
          <w:lang w:val="en-US" w:eastAsia="zh-CN"/>
        </w:rPr>
        <w:t>调整，不另行通知。</w:t>
      </w:r>
    </w:p>
    <w:p w14:paraId="59198EE4">
      <w:pPr>
        <w:pStyle w:val="11"/>
        <w:keepNext w:val="0"/>
        <w:keepLines w:val="0"/>
        <w:widowControl/>
        <w:numPr>
          <w:ilvl w:val="0"/>
          <w:numId w:val="1"/>
        </w:numPr>
        <w:suppressLineNumbers w:val="0"/>
        <w:autoSpaceDE w:val="0"/>
        <w:autoSpaceDN/>
        <w:spacing w:line="312" w:lineRule="auto"/>
        <w:ind w:left="0" w:firstLine="480"/>
        <w:rPr>
          <w:rStyle w:val="16"/>
          <w:rFonts w:hint="eastAsia" w:ascii="宋体" w:hAnsi="宋体" w:eastAsia="宋体" w:cs="宋体"/>
          <w:color w:val="auto"/>
          <w:sz w:val="24"/>
          <w:szCs w:val="24"/>
          <w:highlight w:val="none"/>
        </w:rPr>
      </w:pPr>
      <w:r>
        <w:rPr>
          <w:rStyle w:val="16"/>
          <w:rFonts w:hint="eastAsia" w:ascii="宋体" w:hAnsi="宋体" w:eastAsia="宋体" w:cs="宋体"/>
          <w:color w:val="auto"/>
          <w:sz w:val="24"/>
          <w:szCs w:val="24"/>
          <w:highlight w:val="none"/>
        </w:rPr>
        <w:t>其他事项：</w:t>
      </w:r>
    </w:p>
    <w:p w14:paraId="3B9E9A96">
      <w:pPr>
        <w:pStyle w:val="8"/>
        <w:numPr>
          <w:ilvl w:val="0"/>
          <w:numId w:val="2"/>
        </w:numPr>
        <w:adjustRightInd w:val="0"/>
        <w:snapToGrid w:val="0"/>
        <w:spacing w:line="400" w:lineRule="exact"/>
        <w:ind w:firstLine="480" w:firstLineChars="200"/>
        <w:rPr>
          <w:rFonts w:hint="eastAsia" w:ascii="新宋体" w:hAnsi="新宋体" w:eastAsia="新宋体" w:cs="Courier New"/>
          <w:color w:val="auto"/>
          <w:sz w:val="24"/>
          <w:highlight w:val="none"/>
          <w:lang w:val="en-US" w:eastAsia="zh-CN"/>
        </w:rPr>
      </w:pPr>
      <w:r>
        <w:rPr>
          <w:rFonts w:hint="eastAsia" w:ascii="新宋体" w:hAnsi="新宋体" w:eastAsia="新宋体" w:cs="Courier New"/>
          <w:color w:val="auto"/>
          <w:sz w:val="24"/>
          <w:highlight w:val="none"/>
          <w:lang w:val="en-US" w:eastAsia="zh-CN"/>
        </w:rPr>
        <w:t>对本次招标提出询问，请按以下方式联系：金老师0579-85208030；</w:t>
      </w:r>
    </w:p>
    <w:p w14:paraId="6C719503">
      <w:pPr>
        <w:pStyle w:val="8"/>
        <w:numPr>
          <w:ilvl w:val="0"/>
          <w:numId w:val="2"/>
        </w:numPr>
        <w:adjustRightInd w:val="0"/>
        <w:snapToGrid w:val="0"/>
        <w:spacing w:line="400" w:lineRule="exact"/>
        <w:ind w:firstLine="480" w:firstLineChars="200"/>
        <w:rPr>
          <w:rFonts w:hint="default" w:ascii="新宋体" w:hAnsi="新宋体" w:eastAsia="新宋体" w:cs="Courier New"/>
          <w:color w:val="auto"/>
          <w:sz w:val="24"/>
          <w:highlight w:val="none"/>
          <w:lang w:val="en-US" w:eastAsia="zh-CN"/>
        </w:rPr>
      </w:pPr>
      <w:r>
        <w:rPr>
          <w:rFonts w:hint="eastAsia" w:ascii="新宋体" w:hAnsi="新宋体" w:eastAsia="新宋体" w:cs="Courier New"/>
          <w:color w:val="auto"/>
          <w:sz w:val="24"/>
          <w:highlight w:val="none"/>
          <w:lang w:val="en-US" w:eastAsia="zh-CN"/>
        </w:rPr>
        <w:t>需现场勘探请在工作日联系：虞老师13566960005；</w:t>
      </w:r>
    </w:p>
    <w:p w14:paraId="630F12C1">
      <w:pPr>
        <w:pStyle w:val="3"/>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rPr>
        <w:t> </w:t>
      </w:r>
      <w:r>
        <w:rPr>
          <w:rFonts w:hint="eastAsia" w:ascii="宋体" w:hAnsi="宋体" w:cs="宋体"/>
          <w:color w:val="auto"/>
          <w:sz w:val="24"/>
          <w:szCs w:val="24"/>
          <w:highlight w:val="none"/>
          <w:lang w:val="en-US" w:eastAsia="zh-CN"/>
        </w:rPr>
        <w:t xml:space="preserve">  </w:t>
      </w:r>
    </w:p>
    <w:p w14:paraId="7EF018DE">
      <w:pPr>
        <w:pStyle w:val="3"/>
        <w:ind w:firstLine="480" w:firstLineChars="200"/>
        <w:rPr>
          <w:rFonts w:hint="eastAsia" w:ascii="宋体" w:hAnsi="宋体" w:eastAsia="宋体" w:cs="宋体"/>
          <w:color w:val="auto"/>
          <w:sz w:val="24"/>
          <w:szCs w:val="24"/>
          <w:highlight w:val="none"/>
        </w:rPr>
      </w:pPr>
    </w:p>
    <w:p w14:paraId="74453094">
      <w:pPr>
        <w:pStyle w:val="3"/>
        <w:jc w:val="center"/>
        <w:rPr>
          <w:rFonts w:hint="eastAsia" w:ascii="新宋体" w:hAnsi="新宋体" w:eastAsia="新宋体" w:cs="Courier New"/>
          <w:color w:val="auto"/>
          <w:kern w:val="2"/>
          <w:sz w:val="24"/>
          <w:szCs w:val="21"/>
          <w:highlight w:val="none"/>
          <w:lang w:val="en-US" w:eastAsia="zh-CN" w:bidi="ar-SA"/>
        </w:rPr>
      </w:pPr>
      <w:r>
        <w:rPr>
          <w:rFonts w:hint="eastAsia" w:ascii="宋体" w:hAnsi="宋体" w:cs="宋体"/>
          <w:color w:val="auto"/>
          <w:sz w:val="24"/>
          <w:szCs w:val="24"/>
          <w:highlight w:val="none"/>
          <w:lang w:val="en-US" w:eastAsia="zh-CN"/>
        </w:rPr>
        <w:t xml:space="preserve">                                    </w:t>
      </w:r>
      <w:r>
        <w:rPr>
          <w:rFonts w:hint="eastAsia" w:ascii="新宋体" w:hAnsi="新宋体" w:eastAsia="新宋体" w:cs="Courier New"/>
          <w:color w:val="auto"/>
          <w:kern w:val="2"/>
          <w:sz w:val="24"/>
          <w:szCs w:val="21"/>
          <w:highlight w:val="none"/>
          <w:lang w:val="en-US" w:eastAsia="zh-CN" w:bidi="ar-SA"/>
        </w:rPr>
        <w:t>义乌市中心医院 </w:t>
      </w:r>
    </w:p>
    <w:p w14:paraId="03488882">
      <w:pPr>
        <w:jc w:val="center"/>
        <w:rPr>
          <w:rFonts w:ascii="宋体" w:hAnsi="宋体"/>
          <w:color w:val="auto"/>
          <w:w w:val="90"/>
          <w:sz w:val="28"/>
          <w:szCs w:val="28"/>
          <w:highlight w:val="none"/>
        </w:rPr>
      </w:pPr>
      <w:r>
        <w:rPr>
          <w:rFonts w:hint="eastAsia" w:ascii="新宋体" w:hAnsi="新宋体" w:eastAsia="新宋体" w:cs="Courier New"/>
          <w:color w:val="auto"/>
          <w:kern w:val="2"/>
          <w:sz w:val="24"/>
          <w:szCs w:val="21"/>
          <w:highlight w:val="none"/>
          <w:lang w:val="en-US" w:eastAsia="zh-CN" w:bidi="ar-SA"/>
        </w:rPr>
        <w:t xml:space="preserve">                                     2026年月日</w:t>
      </w:r>
      <w:r>
        <w:rPr>
          <w:rFonts w:hint="eastAsia" w:ascii="宋体" w:hAnsi="宋体" w:eastAsia="宋体" w:cs="宋体"/>
          <w:color w:val="auto"/>
          <w:sz w:val="28"/>
          <w:szCs w:val="28"/>
          <w:highlight w:val="none"/>
        </w:rPr>
        <w:t> </w:t>
      </w:r>
    </w:p>
    <w:p w14:paraId="44C93748">
      <w:pPr>
        <w:jc w:val="center"/>
        <w:rPr>
          <w:rFonts w:ascii="宋体" w:hAnsi="宋体"/>
          <w:color w:val="auto"/>
          <w:w w:val="90"/>
          <w:sz w:val="28"/>
          <w:szCs w:val="28"/>
          <w:highlight w:val="none"/>
        </w:rPr>
      </w:pPr>
    </w:p>
    <w:p w14:paraId="431EC642">
      <w:pPr>
        <w:snapToGrid w:val="0"/>
        <w:spacing w:before="120" w:beforeLines="50" w:line="360" w:lineRule="auto"/>
        <w:rPr>
          <w:rFonts w:ascii="宋体" w:hAnsi="宋体"/>
          <w:color w:val="auto"/>
          <w:sz w:val="30"/>
          <w:szCs w:val="72"/>
          <w:highlight w:val="none"/>
        </w:rPr>
      </w:pPr>
    </w:p>
    <w:p w14:paraId="3413EC36">
      <w:pPr>
        <w:snapToGrid w:val="0"/>
        <w:spacing w:before="120" w:beforeLines="50" w:line="360" w:lineRule="auto"/>
        <w:rPr>
          <w:rFonts w:ascii="宋体" w:hAnsi="宋体"/>
          <w:color w:val="auto"/>
          <w:sz w:val="30"/>
          <w:szCs w:val="72"/>
          <w:highlight w:val="none"/>
        </w:rPr>
      </w:pPr>
    </w:p>
    <w:p w14:paraId="54FE05FE">
      <w:pPr>
        <w:snapToGrid w:val="0"/>
        <w:spacing w:before="120" w:beforeLines="50" w:line="360" w:lineRule="auto"/>
        <w:rPr>
          <w:rFonts w:ascii="宋体" w:hAnsi="宋体"/>
          <w:color w:val="auto"/>
          <w:sz w:val="30"/>
          <w:szCs w:val="72"/>
          <w:highlight w:val="none"/>
        </w:rPr>
      </w:pPr>
    </w:p>
    <w:p w14:paraId="7A671D57">
      <w:pPr>
        <w:snapToGrid w:val="0"/>
        <w:spacing w:before="120" w:beforeLines="50" w:line="360" w:lineRule="auto"/>
        <w:rPr>
          <w:rFonts w:ascii="宋体" w:hAnsi="宋体"/>
          <w:color w:val="auto"/>
          <w:sz w:val="30"/>
          <w:szCs w:val="72"/>
          <w:highlight w:val="none"/>
        </w:rPr>
      </w:pPr>
    </w:p>
    <w:p w14:paraId="7BE6EEC4">
      <w:pPr>
        <w:pStyle w:val="8"/>
        <w:spacing w:before="120" w:after="120" w:line="360" w:lineRule="auto"/>
        <w:jc w:val="center"/>
        <w:rPr>
          <w:rFonts w:hint="eastAsia" w:ascii="创艺简标宋" w:hAnsi="宋体" w:eastAsia="创艺简标宋"/>
          <w:color w:val="auto"/>
          <w:sz w:val="44"/>
          <w:szCs w:val="44"/>
          <w:highlight w:val="none"/>
        </w:rPr>
      </w:pPr>
    </w:p>
    <w:p w14:paraId="1B1E36AB">
      <w:pPr>
        <w:pStyle w:val="8"/>
        <w:spacing w:before="120" w:after="120" w:line="360" w:lineRule="auto"/>
        <w:jc w:val="center"/>
        <w:rPr>
          <w:rFonts w:hint="eastAsia" w:ascii="创艺简标宋" w:hAnsi="宋体" w:eastAsia="创艺简标宋"/>
          <w:color w:val="auto"/>
          <w:sz w:val="44"/>
          <w:szCs w:val="44"/>
          <w:highlight w:val="none"/>
        </w:rPr>
      </w:pPr>
    </w:p>
    <w:p w14:paraId="07937A6D">
      <w:pPr>
        <w:pStyle w:val="8"/>
        <w:spacing w:before="120" w:after="120" w:line="360" w:lineRule="auto"/>
        <w:jc w:val="center"/>
        <w:rPr>
          <w:rFonts w:hint="eastAsia" w:ascii="创艺简标宋" w:hAnsi="宋体" w:eastAsia="创艺简标宋"/>
          <w:color w:val="auto"/>
          <w:sz w:val="44"/>
          <w:szCs w:val="44"/>
          <w:highlight w:val="none"/>
        </w:rPr>
      </w:pPr>
    </w:p>
    <w:p w14:paraId="2525B74C">
      <w:pPr>
        <w:pStyle w:val="8"/>
        <w:spacing w:before="120" w:after="120" w:line="360" w:lineRule="auto"/>
        <w:jc w:val="center"/>
        <w:rPr>
          <w:rFonts w:hint="eastAsia" w:ascii="创艺简标宋" w:hAnsi="宋体" w:eastAsia="创艺简标宋"/>
          <w:color w:val="auto"/>
          <w:sz w:val="44"/>
          <w:szCs w:val="44"/>
          <w:highlight w:val="none"/>
        </w:rPr>
      </w:pPr>
    </w:p>
    <w:p w14:paraId="493CBFDA">
      <w:pPr>
        <w:pStyle w:val="8"/>
        <w:spacing w:before="120" w:after="120" w:line="360" w:lineRule="auto"/>
        <w:jc w:val="center"/>
        <w:rPr>
          <w:rFonts w:hint="eastAsia" w:ascii="创艺简标宋" w:hAnsi="宋体" w:eastAsia="创艺简标宋"/>
          <w:color w:val="auto"/>
          <w:sz w:val="44"/>
          <w:szCs w:val="44"/>
          <w:highlight w:val="none"/>
        </w:rPr>
      </w:pPr>
    </w:p>
    <w:p w14:paraId="6AF0531B">
      <w:pPr>
        <w:pStyle w:val="8"/>
        <w:spacing w:before="120" w:after="120" w:line="360" w:lineRule="auto"/>
        <w:jc w:val="center"/>
        <w:rPr>
          <w:rFonts w:hint="eastAsia" w:ascii="创艺简标宋" w:hAnsi="宋体" w:eastAsia="创艺简标宋"/>
          <w:color w:val="auto"/>
          <w:sz w:val="44"/>
          <w:szCs w:val="44"/>
          <w:highlight w:val="none"/>
        </w:rPr>
      </w:pPr>
    </w:p>
    <w:p w14:paraId="6A24D95E">
      <w:pPr>
        <w:pStyle w:val="8"/>
        <w:spacing w:before="120" w:after="120" w:line="360" w:lineRule="auto"/>
        <w:jc w:val="center"/>
        <w:rPr>
          <w:rFonts w:hint="eastAsia" w:ascii="创艺简标宋" w:hAnsi="宋体" w:eastAsia="创艺简标宋"/>
          <w:color w:val="auto"/>
          <w:sz w:val="44"/>
          <w:szCs w:val="44"/>
          <w:highlight w:val="none"/>
        </w:rPr>
      </w:pPr>
    </w:p>
    <w:p w14:paraId="3F3711D6">
      <w:pPr>
        <w:pStyle w:val="8"/>
        <w:spacing w:before="120" w:after="120" w:line="360" w:lineRule="auto"/>
        <w:jc w:val="center"/>
        <w:rPr>
          <w:rFonts w:hint="eastAsia" w:ascii="创艺简标宋" w:hAnsi="宋体" w:eastAsia="创艺简标宋"/>
          <w:color w:val="auto"/>
          <w:sz w:val="44"/>
          <w:szCs w:val="44"/>
          <w:highlight w:val="none"/>
        </w:rPr>
      </w:pPr>
    </w:p>
    <w:p w14:paraId="5F09C865">
      <w:pPr>
        <w:pStyle w:val="8"/>
        <w:spacing w:before="120" w:after="120" w:line="360" w:lineRule="auto"/>
        <w:jc w:val="center"/>
        <w:rPr>
          <w:rFonts w:ascii="创艺简标宋" w:hAnsi="宋体" w:eastAsia="创艺简标宋"/>
          <w:color w:val="auto"/>
          <w:sz w:val="44"/>
          <w:szCs w:val="44"/>
          <w:highlight w:val="none"/>
        </w:rPr>
      </w:pPr>
      <w:r>
        <w:rPr>
          <w:rFonts w:hint="eastAsia" w:ascii="创艺简标宋" w:hAnsi="宋体" w:eastAsia="创艺简标宋"/>
          <w:color w:val="auto"/>
          <w:sz w:val="44"/>
          <w:szCs w:val="44"/>
          <w:highlight w:val="none"/>
        </w:rPr>
        <w:t>目    录</w:t>
      </w:r>
    </w:p>
    <w:p w14:paraId="19BBA985">
      <w:pPr>
        <w:pStyle w:val="8"/>
        <w:spacing w:before="120" w:after="120" w:line="360" w:lineRule="auto"/>
        <w:jc w:val="center"/>
        <w:rPr>
          <w:rFonts w:ascii="创艺简标宋" w:hAnsi="宋体" w:eastAsia="创艺简标宋"/>
          <w:color w:val="auto"/>
          <w:sz w:val="44"/>
          <w:szCs w:val="44"/>
          <w:highlight w:val="none"/>
        </w:rPr>
      </w:pPr>
    </w:p>
    <w:p w14:paraId="41730760">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采购需求</w:t>
      </w:r>
    </w:p>
    <w:p w14:paraId="27402785">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谈判成交评定标准</w:t>
      </w:r>
    </w:p>
    <w:p w14:paraId="44BF3E5A">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评标方法</w:t>
      </w:r>
    </w:p>
    <w:p w14:paraId="1003E53E">
      <w:pPr>
        <w:numPr>
          <w:ilvl w:val="0"/>
          <w:numId w:val="3"/>
        </w:numPr>
        <w:spacing w:before="120" w:beforeLines="50" w:line="480" w:lineRule="exact"/>
        <w:rPr>
          <w:rFonts w:hint="default" w:ascii="宋体" w:hAnsi="宋体"/>
          <w:color w:val="auto"/>
          <w:sz w:val="30"/>
          <w:highlight w:val="none"/>
          <w:lang w:val="en-US" w:eastAsia="zh-CN"/>
        </w:rPr>
      </w:pPr>
      <w:r>
        <w:rPr>
          <w:rFonts w:hint="eastAsia" w:ascii="宋体" w:hAnsi="宋体"/>
          <w:color w:val="auto"/>
          <w:sz w:val="30"/>
          <w:highlight w:val="none"/>
          <w:lang w:val="en-US" w:eastAsia="zh-CN"/>
        </w:rPr>
        <w:t xml:space="preserve"> 附件</w:t>
      </w:r>
    </w:p>
    <w:p w14:paraId="7680B3D8">
      <w:pPr>
        <w:pStyle w:val="12"/>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w:t>
      </w:r>
    </w:p>
    <w:p w14:paraId="49C21528">
      <w:pPr>
        <w:rPr>
          <w:rFonts w:hint="default"/>
          <w:color w:val="auto"/>
          <w:highlight w:val="none"/>
          <w:lang w:val="en-US"/>
        </w:rPr>
      </w:pPr>
      <w:r>
        <w:rPr>
          <w:rFonts w:hint="eastAsia" w:ascii="宋体" w:hAnsi="宋体"/>
          <w:color w:val="auto"/>
          <w:sz w:val="30"/>
          <w:highlight w:val="none"/>
          <w:lang w:val="en-US" w:eastAsia="zh-CN"/>
        </w:rPr>
        <w:t xml:space="preserve">       </w:t>
      </w:r>
    </w:p>
    <w:p w14:paraId="16D91CEA">
      <w:pPr>
        <w:spacing w:before="120" w:beforeLines="50" w:line="480" w:lineRule="exact"/>
        <w:rPr>
          <w:rFonts w:ascii="宋体" w:hAnsi="宋体"/>
          <w:color w:val="auto"/>
          <w:sz w:val="30"/>
          <w:highlight w:val="none"/>
        </w:rPr>
      </w:pPr>
    </w:p>
    <w:p w14:paraId="7FC84AD5">
      <w:pPr>
        <w:spacing w:before="120" w:beforeLines="50" w:line="480" w:lineRule="exact"/>
        <w:rPr>
          <w:rFonts w:ascii="宋体" w:hAnsi="宋体"/>
          <w:color w:val="auto"/>
          <w:sz w:val="30"/>
          <w:highlight w:val="none"/>
        </w:rPr>
      </w:pPr>
    </w:p>
    <w:p w14:paraId="2544D747">
      <w:pPr>
        <w:spacing w:before="120" w:beforeLines="50" w:line="480" w:lineRule="exact"/>
        <w:rPr>
          <w:rFonts w:ascii="宋体" w:hAnsi="宋体"/>
          <w:color w:val="auto"/>
          <w:sz w:val="30"/>
          <w:highlight w:val="none"/>
        </w:rPr>
      </w:pPr>
    </w:p>
    <w:p w14:paraId="59F18E5A">
      <w:pPr>
        <w:spacing w:before="120" w:beforeLines="50" w:line="480" w:lineRule="exact"/>
        <w:rPr>
          <w:rFonts w:hint="eastAsia" w:ascii="宋体" w:hAnsi="宋体"/>
          <w:color w:val="auto"/>
          <w:sz w:val="30"/>
          <w:highlight w:val="none"/>
        </w:rPr>
      </w:pPr>
    </w:p>
    <w:p w14:paraId="5BECEE22">
      <w:pPr>
        <w:spacing w:before="120" w:beforeLines="50" w:line="480" w:lineRule="exact"/>
        <w:rPr>
          <w:rFonts w:hint="eastAsia" w:ascii="宋体" w:hAnsi="宋体"/>
          <w:color w:val="auto"/>
          <w:sz w:val="30"/>
          <w:highlight w:val="none"/>
        </w:rPr>
      </w:pPr>
    </w:p>
    <w:p w14:paraId="5B2F19B3">
      <w:pPr>
        <w:spacing w:before="120" w:beforeLines="50" w:line="480" w:lineRule="exact"/>
        <w:rPr>
          <w:rFonts w:ascii="宋体" w:hAnsi="宋体"/>
          <w:color w:val="auto"/>
          <w:sz w:val="30"/>
          <w:highlight w:val="none"/>
        </w:rPr>
      </w:pPr>
    </w:p>
    <w:p w14:paraId="2862627E">
      <w:pPr>
        <w:spacing w:before="120" w:beforeLines="50" w:line="480" w:lineRule="exact"/>
        <w:rPr>
          <w:rFonts w:ascii="宋体" w:hAnsi="宋体"/>
          <w:color w:val="auto"/>
          <w:sz w:val="30"/>
          <w:szCs w:val="20"/>
          <w:highlight w:val="none"/>
        </w:rPr>
      </w:pPr>
    </w:p>
    <w:p w14:paraId="02C98675">
      <w:pPr>
        <w:spacing w:line="360" w:lineRule="auto"/>
        <w:rPr>
          <w:b/>
          <w:bCs/>
          <w:color w:val="auto"/>
          <w:sz w:val="30"/>
          <w:highlight w:val="none"/>
        </w:rPr>
      </w:pPr>
    </w:p>
    <w:p w14:paraId="0B0DDC09">
      <w:pPr>
        <w:pStyle w:val="3"/>
        <w:rPr>
          <w:b/>
          <w:bCs/>
          <w:color w:val="auto"/>
          <w:sz w:val="30"/>
          <w:highlight w:val="none"/>
        </w:rPr>
      </w:pPr>
    </w:p>
    <w:p w14:paraId="0DB6EBA1">
      <w:pPr>
        <w:rPr>
          <w:b/>
          <w:bCs/>
          <w:color w:val="auto"/>
          <w:sz w:val="30"/>
          <w:highlight w:val="none"/>
        </w:rPr>
      </w:pPr>
    </w:p>
    <w:p w14:paraId="46DA73C7">
      <w:pPr>
        <w:snapToGrid w:val="0"/>
        <w:spacing w:after="120" w:afterLines="50"/>
        <w:jc w:val="both"/>
        <w:rPr>
          <w:rFonts w:ascii="黑体" w:hAnsi="宋体" w:eastAsia="黑体"/>
          <w:color w:val="auto"/>
          <w:sz w:val="30"/>
          <w:szCs w:val="30"/>
          <w:highlight w:val="none"/>
        </w:rPr>
      </w:pPr>
      <w:r>
        <w:rPr>
          <w:rFonts w:ascii="宋体" w:hAnsi="宋体"/>
          <w:color w:val="auto"/>
          <w:highlight w:val="none"/>
        </w:rPr>
        <w:br w:type="page"/>
      </w:r>
      <w:r>
        <w:rPr>
          <w:rFonts w:hint="eastAsia" w:ascii="黑体" w:hAnsi="宋体" w:eastAsia="黑体"/>
          <w:color w:val="auto"/>
          <w:sz w:val="30"/>
          <w:szCs w:val="30"/>
          <w:highlight w:val="none"/>
        </w:rPr>
        <w:t>第</w:t>
      </w:r>
      <w:r>
        <w:rPr>
          <w:rFonts w:hint="eastAsia" w:ascii="黑体" w:hAnsi="宋体" w:eastAsia="黑体"/>
          <w:color w:val="auto"/>
          <w:sz w:val="30"/>
          <w:szCs w:val="30"/>
          <w:highlight w:val="none"/>
          <w:lang w:val="en-US" w:eastAsia="zh-CN"/>
        </w:rPr>
        <w:t>一</w:t>
      </w:r>
      <w:r>
        <w:rPr>
          <w:rFonts w:hint="eastAsia" w:ascii="黑体" w:hAnsi="宋体" w:eastAsia="黑体"/>
          <w:color w:val="auto"/>
          <w:sz w:val="30"/>
          <w:szCs w:val="30"/>
          <w:highlight w:val="none"/>
        </w:rPr>
        <w:t xml:space="preserve">章  </w:t>
      </w:r>
      <w:r>
        <w:rPr>
          <w:rFonts w:hint="eastAsia" w:ascii="黑体" w:hAnsi="宋体" w:eastAsia="黑体"/>
          <w:bCs/>
          <w:color w:val="auto"/>
          <w:sz w:val="30"/>
          <w:szCs w:val="30"/>
          <w:highlight w:val="none"/>
          <w:lang w:val="en-US" w:eastAsia="zh-CN"/>
        </w:rPr>
        <w:t>采购</w:t>
      </w:r>
      <w:r>
        <w:rPr>
          <w:rFonts w:hint="eastAsia" w:ascii="黑体" w:hAnsi="宋体" w:eastAsia="黑体"/>
          <w:color w:val="auto"/>
          <w:sz w:val="30"/>
          <w:szCs w:val="30"/>
          <w:highlight w:val="none"/>
        </w:rPr>
        <w:t>需求</w:t>
      </w:r>
    </w:p>
    <w:p w14:paraId="44917D8A">
      <w:pPr>
        <w:pStyle w:val="4"/>
        <w:snapToGrid w:val="0"/>
        <w:spacing w:line="420" w:lineRule="exact"/>
        <w:ind w:firstLine="482" w:firstLineChars="200"/>
        <w:rPr>
          <w:rFonts w:hint="eastAsia" w:ascii="宋体" w:hAnsi="宋体"/>
          <w:b/>
          <w:color w:val="auto"/>
          <w:kern w:val="0"/>
          <w:sz w:val="24"/>
          <w:highlight w:val="none"/>
          <w:lang w:eastAsia="zh-CN"/>
        </w:rPr>
      </w:pPr>
      <w:r>
        <w:rPr>
          <w:rFonts w:hint="eastAsia" w:ascii="宋体" w:hAnsi="宋体"/>
          <w:b/>
          <w:color w:val="auto"/>
          <w:kern w:val="0"/>
          <w:sz w:val="24"/>
          <w:highlight w:val="none"/>
          <w:lang w:eastAsia="zh-CN"/>
        </w:rPr>
        <w:t>一、采购内容</w:t>
      </w:r>
    </w:p>
    <w:p w14:paraId="63351866">
      <w:pPr>
        <w:pStyle w:val="5"/>
        <w:ind w:left="479" w:leftChars="228" w:firstLine="480" w:firstLineChars="200"/>
        <w:rPr>
          <w:rFonts w:hint="default"/>
          <w:color w:val="auto"/>
          <w:highlight w:val="none"/>
          <w:lang w:val="en-US" w:eastAsia="zh-CN"/>
        </w:rPr>
      </w:pPr>
      <w:r>
        <w:rPr>
          <w:rFonts w:hint="eastAsia"/>
          <w:color w:val="auto"/>
          <w:highlight w:val="none"/>
          <w:lang w:val="en-US" w:eastAsia="zh-CN"/>
        </w:rPr>
        <w:t>义乌市中心医院职工活动中心咖啡、烘焙服务经营项目</w:t>
      </w:r>
    </w:p>
    <w:p w14:paraId="100B15FE">
      <w:pPr>
        <w:widowControl/>
        <w:tabs>
          <w:tab w:val="left" w:pos="789"/>
        </w:tabs>
        <w:spacing w:line="360" w:lineRule="exact"/>
        <w:ind w:firstLine="240" w:firstLineChars="100"/>
        <w:jc w:val="left"/>
        <w:rPr>
          <w:rFonts w:hint="eastAsia" w:ascii="宋体" w:hAnsi="宋体"/>
          <w:b/>
          <w:bCs/>
          <w:color w:val="auto"/>
          <w:kern w:val="0"/>
          <w:sz w:val="24"/>
          <w:highlight w:val="none"/>
        </w:rPr>
      </w:pPr>
      <w:r>
        <w:rPr>
          <w:rFonts w:hint="eastAsia" w:ascii="宋体" w:hAnsi="宋体"/>
          <w:color w:val="auto"/>
          <w:kern w:val="0"/>
          <w:sz w:val="24"/>
          <w:highlight w:val="none"/>
        </w:rPr>
        <w:t>1</w:t>
      </w:r>
      <w:r>
        <w:rPr>
          <w:rFonts w:hint="eastAsia" w:ascii="宋体" w:hAnsi="宋体"/>
          <w:color w:val="auto"/>
          <w:kern w:val="0"/>
          <w:sz w:val="24"/>
          <w:highlight w:val="none"/>
          <w:lang w:eastAsia="zh-CN"/>
        </w:rPr>
        <w:t>.</w:t>
      </w:r>
      <w:r>
        <w:rPr>
          <w:rFonts w:hint="eastAsia" w:ascii="宋体" w:hAnsi="宋体"/>
          <w:b/>
          <w:bCs/>
          <w:color w:val="auto"/>
          <w:kern w:val="0"/>
          <w:sz w:val="24"/>
          <w:highlight w:val="none"/>
          <w:lang w:val="en-US" w:eastAsia="zh-CN"/>
        </w:rPr>
        <w:t>投标须知</w:t>
      </w:r>
      <w:r>
        <w:rPr>
          <w:rFonts w:hint="eastAsia" w:ascii="宋体" w:hAnsi="宋体"/>
          <w:b/>
          <w:bCs/>
          <w:color w:val="auto"/>
          <w:kern w:val="0"/>
          <w:sz w:val="24"/>
          <w:highlight w:val="none"/>
        </w:rPr>
        <w:t>：</w:t>
      </w:r>
    </w:p>
    <w:p w14:paraId="0000D3D7">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.1</w:t>
      </w:r>
      <w:r>
        <w:rPr>
          <w:rFonts w:hint="eastAsia" w:hAnsi="宋体"/>
          <w:color w:val="auto"/>
          <w:sz w:val="24"/>
          <w:highlight w:val="none"/>
        </w:rPr>
        <w:t>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r>
        <w:rPr>
          <w:rFonts w:ascii="Times New Roman" w:hAnsi="宋体"/>
          <w:color w:val="auto"/>
          <w:sz w:val="24"/>
          <w:szCs w:val="24"/>
          <w:highlight w:val="none"/>
        </w:rPr>
        <w:t>。</w:t>
      </w:r>
    </w:p>
    <w:p w14:paraId="0A2EE25F">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.2投标单位在考察过程中发生的各类事件及所发生的各项费用，均由投标单位</w:t>
      </w:r>
      <w:r>
        <w:rPr>
          <w:rFonts w:ascii="Times New Roman" w:hAnsi="宋体"/>
          <w:color w:val="auto"/>
          <w:sz w:val="24"/>
          <w:szCs w:val="24"/>
          <w:highlight w:val="none"/>
        </w:rPr>
        <w:t>自行承担。采购人概不负责。</w:t>
      </w:r>
    </w:p>
    <w:p w14:paraId="1678673B">
      <w:pPr>
        <w:pStyle w:val="8"/>
        <w:adjustRightInd w:val="0"/>
        <w:snapToGrid w:val="0"/>
        <w:spacing w:line="46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.3</w:t>
      </w:r>
      <w:r>
        <w:rPr>
          <w:rFonts w:ascii="Times New Roman" w:hAnsi="宋体"/>
          <w:color w:val="auto"/>
          <w:sz w:val="24"/>
          <w:szCs w:val="24"/>
          <w:highlight w:val="none"/>
        </w:rPr>
        <w:t>采购人向投标单位提供的有关现场的数据和资料，是采购人现有的能被投标人利用的资料，采购人对投标人据此做出的任何推论、理解和结论不负责任。</w:t>
      </w:r>
    </w:p>
    <w:p w14:paraId="3B2DC461">
      <w:pPr>
        <w:adjustRightInd w:val="0"/>
        <w:snapToGrid w:val="0"/>
        <w:spacing w:line="460" w:lineRule="exact"/>
        <w:ind w:firstLine="480" w:firstLineChars="200"/>
        <w:rPr>
          <w:color w:val="auto"/>
          <w:sz w:val="24"/>
          <w:highlight w:val="none"/>
        </w:rPr>
      </w:pPr>
      <w:r>
        <w:rPr>
          <w:rFonts w:hint="eastAsia"/>
          <w:color w:val="auto"/>
          <w:sz w:val="24"/>
          <w:highlight w:val="none"/>
          <w:lang w:val="en-US" w:eastAsia="zh-CN"/>
        </w:rPr>
        <w:t>1</w:t>
      </w:r>
      <w:r>
        <w:rPr>
          <w:color w:val="auto"/>
          <w:sz w:val="24"/>
          <w:highlight w:val="none"/>
        </w:rPr>
        <w:t>.4</w:t>
      </w:r>
      <w:r>
        <w:rPr>
          <w:rFonts w:hAnsi="宋体"/>
          <w:color w:val="auto"/>
          <w:sz w:val="24"/>
          <w:highlight w:val="none"/>
        </w:rPr>
        <w:t>现场踏勘完毕，将认为投标人己了解现场情况，并充分理解了为之所承担的风险、义务和责任。</w:t>
      </w:r>
    </w:p>
    <w:p w14:paraId="1D1BC9F2">
      <w:pPr>
        <w:numPr>
          <w:ilvl w:val="0"/>
          <w:numId w:val="4"/>
        </w:numPr>
        <w:snapToGrid w:val="0"/>
        <w:spacing w:line="360" w:lineRule="exact"/>
        <w:ind w:firstLine="482" w:firstLineChars="200"/>
        <w:rPr>
          <w:rFonts w:hint="eastAsia" w:ascii="宋体" w:hAnsi="宋体" w:eastAsia="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项目概况</w:t>
      </w:r>
    </w:p>
    <w:p w14:paraId="7CCB7CF9">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本项目为医院职工活动中心配套咖啡、烘焙水吧，服务对象仅限本院职工，定位为便民休闲、轻饮补给、简歇交流区域，现面向社会开展招标，明确项目建设、运营、管理全维度要求，投标方按本要求编制投标方案。</w:t>
      </w:r>
    </w:p>
    <w:p w14:paraId="12688A73">
      <w:pPr>
        <w:numPr>
          <w:ilvl w:val="0"/>
          <w:numId w:val="4"/>
        </w:numPr>
        <w:snapToGrid w:val="0"/>
        <w:spacing w:line="360" w:lineRule="exact"/>
        <w:ind w:firstLine="482" w:firstLineChars="200"/>
        <w:rPr>
          <w:rFonts w:hint="eastAsia" w:ascii="宋体" w:hAnsi="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场地与使用面积</w:t>
      </w:r>
    </w:p>
    <w:p w14:paraId="006E0690">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（一）场地基础信息</w:t>
      </w:r>
    </w:p>
    <w:p w14:paraId="25A3BE51">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场地位于职工活动中心指定区域，</w:t>
      </w:r>
      <w:r>
        <w:rPr>
          <w:rFonts w:hint="eastAsia"/>
          <w:color w:val="FF0000"/>
          <w:sz w:val="24"/>
          <w:highlight w:val="none"/>
          <w:lang w:val="en-US" w:eastAsia="zh-CN"/>
        </w:rPr>
        <w:t>实测可用面积 30 ㎡</w:t>
      </w:r>
      <w:r>
        <w:rPr>
          <w:rFonts w:hint="eastAsia"/>
          <w:color w:val="auto"/>
          <w:sz w:val="24"/>
          <w:highlight w:val="none"/>
          <w:lang w:val="en-US" w:eastAsia="zh-CN"/>
        </w:rPr>
        <w:t>（具体划定范围投标方需现场踏勘确认）。</w:t>
      </w:r>
    </w:p>
    <w:p w14:paraId="5144349A">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场地现有基础设施：供水、排水、强弱电、照明、通风系统、基础墙面地面，投标方负责区域内功能改造、动线规划、软装布置。</w:t>
      </w:r>
    </w:p>
    <w:p w14:paraId="51C986C0">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（二）场地装修与布局要求</w:t>
      </w:r>
    </w:p>
    <w:p w14:paraId="12E53F9C">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整体风格简约、整洁、安静，色调素雅，与职工活动中心整体环境统一，禁止花哨装饰、大功率音响、网红夸张布置。</w:t>
      </w:r>
    </w:p>
    <w:p w14:paraId="7F695D2B">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地面做防滑、防油污处理，墙面防水易清洁，所有管线规整隐藏，无裸露线路。</w:t>
      </w:r>
    </w:p>
    <w:p w14:paraId="066491E5">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严格在划定面积内施工、运营，不得私自向外拓展占用公共区域，保证活动中心通行、原有功能不受影响。</w:t>
      </w:r>
    </w:p>
    <w:p w14:paraId="2D97E0F7">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布局需符合消防安全要求，预留消防通道，消防设施不得遮挡、挪用。</w:t>
      </w:r>
    </w:p>
    <w:p w14:paraId="21770819">
      <w:pPr>
        <w:numPr>
          <w:ilvl w:val="0"/>
          <w:numId w:val="4"/>
        </w:numPr>
        <w:snapToGrid w:val="0"/>
        <w:spacing w:line="360" w:lineRule="exact"/>
        <w:ind w:firstLine="482" w:firstLineChars="200"/>
        <w:rPr>
          <w:rFonts w:hint="eastAsia" w:ascii="宋体" w:hAnsi="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设备配置要求</w:t>
      </w:r>
    </w:p>
    <w:p w14:paraId="56DDC6F7">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投标方需安装、维保所有设备，设备选型优先静音、节能、易清洁、故障率低，符合食品经营安全标准，分基础设备、选配设备，明确品牌、规格、数量。</w:t>
      </w:r>
    </w:p>
    <w:p w14:paraId="36C26069">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（一）饮品制作核心设备（基础）</w:t>
      </w:r>
    </w:p>
    <w:p w14:paraId="15E21075">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商用咖啡机1台、磨豆机1台、开水机1台。</w:t>
      </w:r>
    </w:p>
    <w:p w14:paraId="74E2D068">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冷藏柜1台、制冰机1台、商用净水器1套。</w:t>
      </w:r>
    </w:p>
    <w:p w14:paraId="5BA3EAD1">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（二）清洁消杀设备（基础）</w:t>
      </w:r>
    </w:p>
    <w:p w14:paraId="40EFE891">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高温消毒机1台、消毒喷雾、紫外线消毒灯。</w:t>
      </w:r>
    </w:p>
    <w:p w14:paraId="3EFCC19C">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（三）辅助配套设备</w:t>
      </w:r>
    </w:p>
    <w:p w14:paraId="24EBE703">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空调/通风排风设备、照明设备、耗材存放柜、小型微波炉（仅限职工热简餐）等。</w:t>
      </w:r>
    </w:p>
    <w:p w14:paraId="2C8934EA">
      <w:pPr>
        <w:numPr>
          <w:ilvl w:val="0"/>
          <w:numId w:val="4"/>
        </w:numPr>
        <w:snapToGrid w:val="0"/>
        <w:spacing w:line="360" w:lineRule="exact"/>
        <w:ind w:firstLine="482" w:firstLineChars="200"/>
        <w:rPr>
          <w:rFonts w:hint="eastAsia" w:ascii="宋体" w:hAnsi="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人员配置与管理要求</w:t>
      </w:r>
    </w:p>
    <w:p w14:paraId="21B2520A">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（一）人员岗位配置（根据运营时长合理定岗）</w:t>
      </w:r>
    </w:p>
    <w:p w14:paraId="66AF1A92">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岗位设置：至少配置饮品制作员1名，可一人多岗但需保障服务与卫生到位；高峰期可增设临时辅助人员。</w:t>
      </w:r>
    </w:p>
    <w:p w14:paraId="5CA63ABB">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日常运营：不少于1名在岗人员；</w:t>
      </w:r>
    </w:p>
    <w:p w14:paraId="0FF36696">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（二）人员资质与健康要求（硬性红线）</w:t>
      </w:r>
    </w:p>
    <w:p w14:paraId="6FA26B42">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所有上岗人员必须持有有效健康证，进场前提交原件核验，到期及时补办，无健康证严禁上岗。</w:t>
      </w:r>
    </w:p>
    <w:p w14:paraId="393D7754">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上岗人员需具备饮品制作、食品卫生基础常识，有咖啡、茶饮相关从业经验者优先。</w:t>
      </w:r>
    </w:p>
    <w:p w14:paraId="05F4916D">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建立人员花名册，留存身份证、健康证、联系方式，人员变动第一时间向院方报备。</w:t>
      </w:r>
    </w:p>
    <w:p w14:paraId="077D3D8C">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（三）仪容仪表与行为规范</w:t>
      </w:r>
    </w:p>
    <w:p w14:paraId="3E1C659F">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统一着</w:t>
      </w:r>
      <w:r>
        <w:rPr>
          <w:rFonts w:hint="eastAsia"/>
          <w:strike w:val="0"/>
          <w:dstrike w:val="0"/>
          <w:color w:val="auto"/>
          <w:sz w:val="24"/>
          <w:highlight w:val="none"/>
          <w:lang w:val="en-US" w:eastAsia="zh-CN"/>
        </w:rPr>
        <w:t>装、佩戴工牌、帽子、口罩、一次性手套，</w:t>
      </w:r>
      <w:r>
        <w:rPr>
          <w:rFonts w:hint="eastAsia"/>
          <w:color w:val="auto"/>
          <w:sz w:val="24"/>
          <w:highlight w:val="none"/>
          <w:lang w:val="en-US" w:eastAsia="zh-CN"/>
        </w:rPr>
        <w:t>严格执行食品操作穿戴规范。</w:t>
      </w:r>
    </w:p>
    <w:p w14:paraId="5D12C93C">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举止文明</w:t>
      </w:r>
      <w:r>
        <w:rPr>
          <w:rFonts w:hint="eastAsia"/>
          <w:strike w:val="0"/>
          <w:dstrike w:val="0"/>
          <w:color w:val="auto"/>
          <w:sz w:val="24"/>
          <w:highlight w:val="none"/>
          <w:lang w:val="en-US" w:eastAsia="zh-CN"/>
        </w:rPr>
        <w:t>、轻声服务，院内工作时间禁止大声交谈、嬉笑打闹，</w:t>
      </w:r>
      <w:r>
        <w:rPr>
          <w:rFonts w:hint="eastAsia"/>
          <w:color w:val="auto"/>
          <w:sz w:val="24"/>
          <w:highlight w:val="none"/>
          <w:lang w:val="en-US" w:eastAsia="zh-CN"/>
        </w:rPr>
        <w:t>不影响医院正常秩序。</w:t>
      </w:r>
    </w:p>
    <w:p w14:paraId="038793F0">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遵守医院各项规章制度，服从活动中心管理人员监督、检查。</w:t>
      </w:r>
    </w:p>
    <w:p w14:paraId="2B23FF3D">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（四）人员管理机制</w:t>
      </w:r>
    </w:p>
    <w:p w14:paraId="0027D016">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投标人负责所有人员薪酬、社保、考勤、安全管理、岗前培训，承担用工全部责任与风险。</w:t>
      </w:r>
    </w:p>
    <w:p w14:paraId="51B1D030">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制定排班表，公示服务时段，保证在岗时间有人值守，不出现空岗、脱岗。</w:t>
      </w:r>
    </w:p>
    <w:p w14:paraId="21A727CB">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建立服务投诉处理机制，对职工反馈问题及时整改。</w:t>
      </w:r>
    </w:p>
    <w:p w14:paraId="0B4757AD">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五、原材料与饮品经营要求</w:t>
      </w:r>
    </w:p>
    <w:p w14:paraId="5E41EF94">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所有咖啡、茶叶、奶品、糖浆、杯具、耗材等正规渠道采购，提供供货商资质、产品质检报告，杜绝三无产品、过期产品。</w:t>
      </w:r>
    </w:p>
    <w:p w14:paraId="1823E73F">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明码标价，定价面向内部职工实行普惠低价，价目表上墙公示，严禁乱加价、私设收费项目。</w:t>
      </w:r>
    </w:p>
    <w:p w14:paraId="619D2945">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严格把控食材保质期，每日盘点，过期原料立即销毁并登记，做好原料出入库台账。</w:t>
      </w:r>
    </w:p>
    <w:p w14:paraId="398A99B5">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经营范围：咖啡、茶饮、果汁、热饮、瓶装水、预包装点心等；严禁售卖烟酒、现制熟食、油炸食品。</w:t>
      </w:r>
    </w:p>
    <w:p w14:paraId="17311C2A">
      <w:pPr>
        <w:numPr>
          <w:ilvl w:val="0"/>
          <w:numId w:val="4"/>
        </w:numPr>
        <w:snapToGrid w:val="0"/>
        <w:spacing w:line="360" w:lineRule="exact"/>
        <w:ind w:firstLine="482" w:firstLineChars="200"/>
        <w:rPr>
          <w:rFonts w:hint="eastAsia" w:ascii="宋体" w:hAnsi="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运营时长、服务标准、消费方式</w:t>
      </w:r>
    </w:p>
    <w:p w14:paraId="2217A407">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运营时间：结合医院上下班、值班作息制定（如：工作日 8:30-18:00，周末/节假日按需调整），方案中明确详细营业时间。</w:t>
      </w:r>
    </w:p>
    <w:p w14:paraId="776B2AD0">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服务对象：仅限本院职工、值班人员，原则上不对外营业。</w:t>
      </w:r>
    </w:p>
    <w:p w14:paraId="7D9C825B">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保持区域全天候整洁，每班次定时清洁、消杀，地面、台面、杯具无污渍、无积水、无异味。</w:t>
      </w:r>
    </w:p>
    <w:p w14:paraId="70D91264">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节约用水、用电，做到人走设备关停，落实节能要求。</w:t>
      </w:r>
    </w:p>
    <w:p w14:paraId="57601862">
      <w:pPr>
        <w:adjustRightInd w:val="0"/>
        <w:snapToGrid w:val="0"/>
        <w:spacing w:line="460" w:lineRule="exact"/>
        <w:ind w:firstLine="480" w:firstLineChars="200"/>
        <w:rPr>
          <w:rFonts w:hint="default"/>
          <w:color w:val="auto"/>
          <w:sz w:val="24"/>
          <w:highlight w:val="none"/>
          <w:lang w:val="en-US" w:eastAsia="zh-CN"/>
        </w:rPr>
      </w:pPr>
      <w:r>
        <w:rPr>
          <w:rFonts w:hint="eastAsia"/>
          <w:color w:val="auto"/>
          <w:sz w:val="24"/>
          <w:highlight w:val="none"/>
          <w:lang w:val="en-US" w:eastAsia="zh-CN"/>
        </w:rPr>
        <w:t>消费方式：本院职工使用本院职工卡在水吧进行消费。</w:t>
      </w:r>
    </w:p>
    <w:p w14:paraId="4D19A336">
      <w:pPr>
        <w:numPr>
          <w:ilvl w:val="0"/>
          <w:numId w:val="4"/>
        </w:numPr>
        <w:snapToGrid w:val="0"/>
        <w:spacing w:line="360" w:lineRule="exact"/>
        <w:ind w:firstLine="482" w:firstLineChars="200"/>
        <w:rPr>
          <w:rFonts w:hint="eastAsia" w:ascii="宋体" w:hAnsi="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场地使用与权责划分</w:t>
      </w:r>
    </w:p>
    <w:p w14:paraId="34ADAA2D">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（一）场地使用权责</w:t>
      </w:r>
    </w:p>
    <w:p w14:paraId="2A3C4D7D">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中标方仅拥有约定区域使用权，不得转租、转借、改变使用用途。</w:t>
      </w:r>
    </w:p>
    <w:p w14:paraId="733EC204">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爱护原有建筑、墙面、地面、固定设施，人为损坏照价赔偿。</w:t>
      </w:r>
    </w:p>
    <w:p w14:paraId="04570859">
      <w:pPr>
        <w:adjustRightInd w:val="0"/>
        <w:snapToGrid w:val="0"/>
        <w:spacing w:line="460" w:lineRule="exact"/>
        <w:ind w:firstLine="480" w:firstLineChars="200"/>
        <w:rPr>
          <w:rFonts w:hint="default" w:ascii="宋体" w:hAnsi="宋体" w:cs="Times New Roman"/>
          <w:b/>
          <w:color w:val="auto"/>
          <w:kern w:val="0"/>
          <w:sz w:val="24"/>
          <w:szCs w:val="20"/>
          <w:highlight w:val="none"/>
          <w:lang w:val="en-US" w:eastAsia="zh-CN" w:bidi="ar-SA"/>
        </w:rPr>
      </w:pPr>
      <w:r>
        <w:rPr>
          <w:rFonts w:hint="eastAsia"/>
          <w:color w:val="auto"/>
          <w:sz w:val="24"/>
          <w:highlight w:val="none"/>
          <w:lang w:val="en-US" w:eastAsia="zh-CN"/>
        </w:rPr>
        <w:t>遵守医院消防、治安、食品卫生、疫情防控等各项管理规定，接受院方日常检查、监督。</w:t>
      </w:r>
      <w:bookmarkStart w:id="0" w:name="_Toc24414"/>
    </w:p>
    <w:p w14:paraId="09E31A8C">
      <w:pPr>
        <w:numPr>
          <w:ilvl w:val="0"/>
          <w:numId w:val="4"/>
        </w:numPr>
        <w:snapToGrid w:val="0"/>
        <w:spacing w:line="360" w:lineRule="exact"/>
        <w:ind w:firstLine="482" w:firstLineChars="200"/>
        <w:rPr>
          <w:rFonts w:hint="default" w:ascii="宋体" w:hAnsi="宋体" w:cs="Times New Roman"/>
          <w:b/>
          <w:color w:val="auto"/>
          <w:kern w:val="0"/>
          <w:sz w:val="24"/>
          <w:szCs w:val="20"/>
          <w:highlight w:val="none"/>
          <w:lang w:val="en-US" w:eastAsia="zh-CN" w:bidi="ar-SA"/>
        </w:rPr>
      </w:pPr>
      <w:r>
        <w:rPr>
          <w:rFonts w:hint="eastAsia" w:ascii="宋体" w:hAnsi="宋体" w:cs="Times New Roman"/>
          <w:b/>
          <w:color w:val="auto"/>
          <w:kern w:val="0"/>
          <w:sz w:val="24"/>
          <w:szCs w:val="20"/>
          <w:highlight w:val="none"/>
          <w:lang w:val="en-US" w:eastAsia="zh-CN" w:bidi="ar-SA"/>
        </w:rPr>
        <w:t>基础菜单及价目表</w:t>
      </w:r>
    </w:p>
    <w:p w14:paraId="1ABAAEDD">
      <w:pPr>
        <w:adjustRightInd w:val="0"/>
        <w:snapToGrid w:val="0"/>
        <w:spacing w:line="460" w:lineRule="exact"/>
        <w:ind w:firstLine="480" w:firstLineChars="200"/>
        <w:rPr>
          <w:rFonts w:hint="default"/>
          <w:color w:val="auto"/>
          <w:sz w:val="24"/>
          <w:highlight w:val="none"/>
          <w:lang w:val="en-US" w:eastAsia="zh-CN"/>
        </w:rPr>
      </w:pPr>
      <w:r>
        <w:rPr>
          <w:rFonts w:hint="eastAsia"/>
          <w:color w:val="auto"/>
          <w:sz w:val="24"/>
          <w:highlight w:val="none"/>
          <w:lang w:val="en-US" w:eastAsia="zh-CN"/>
        </w:rPr>
        <w:t>（一）基础菜单及价目表</w:t>
      </w:r>
    </w:p>
    <w:tbl>
      <w:tblPr>
        <w:tblStyle w:val="13"/>
        <w:tblW w:w="65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31"/>
        <w:gridCol w:w="1056"/>
        <w:gridCol w:w="1029"/>
        <w:gridCol w:w="1374"/>
      </w:tblGrid>
      <w:tr w14:paraId="74082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3116A5">
            <w:pPr>
              <w:rPr>
                <w:rFonts w:hint="default" w:ascii="宋体" w:hAnsi="宋体" w:eastAsia="宋体" w:cs="宋体"/>
                <w:i w:val="0"/>
                <w:iCs w:val="0"/>
                <w:color w:val="auto"/>
                <w:sz w:val="24"/>
                <w:szCs w:val="24"/>
                <w:u w:val="none"/>
                <w:lang w:val="en-US"/>
              </w:rPr>
            </w:pPr>
            <w:r>
              <w:rPr>
                <w:rFonts w:hint="eastAsia" w:ascii="宋体" w:hAnsi="宋体" w:cs="宋体"/>
                <w:i w:val="0"/>
                <w:iCs w:val="0"/>
                <w:color w:val="auto"/>
                <w:kern w:val="0"/>
                <w:sz w:val="24"/>
                <w:szCs w:val="24"/>
                <w:u w:val="none"/>
                <w:lang w:val="en-US" w:eastAsia="zh-CN" w:bidi="ar"/>
              </w:rPr>
              <w:t>基础</w:t>
            </w:r>
            <w:r>
              <w:rPr>
                <w:rFonts w:hint="eastAsia" w:ascii="宋体" w:hAnsi="宋体" w:eastAsia="宋体" w:cs="宋体"/>
                <w:i w:val="0"/>
                <w:iCs w:val="0"/>
                <w:color w:val="auto"/>
                <w:kern w:val="0"/>
                <w:sz w:val="24"/>
                <w:szCs w:val="24"/>
                <w:u w:val="none"/>
                <w:lang w:val="en-US" w:eastAsia="zh-CN" w:bidi="ar"/>
              </w:rPr>
              <w:t>咖啡</w:t>
            </w:r>
            <w:r>
              <w:rPr>
                <w:rFonts w:hint="eastAsia" w:ascii="宋体" w:hAnsi="宋体" w:cs="宋体"/>
                <w:i w:val="0"/>
                <w:iCs w:val="0"/>
                <w:color w:val="auto"/>
                <w:kern w:val="0"/>
                <w:sz w:val="24"/>
                <w:szCs w:val="24"/>
                <w:u w:val="none"/>
                <w:lang w:val="en-US" w:eastAsia="zh-CN" w:bidi="ar"/>
              </w:rPr>
              <w:t>类</w:t>
            </w:r>
          </w:p>
        </w:tc>
      </w:tr>
      <w:tr w14:paraId="48C3C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5E1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名称</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D75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9FB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容量</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DD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市场</w:t>
            </w:r>
            <w:r>
              <w:rPr>
                <w:rFonts w:hint="eastAsia" w:ascii="宋体" w:hAnsi="宋体" w:cs="宋体"/>
                <w:i w:val="0"/>
                <w:iCs w:val="0"/>
                <w:color w:val="auto"/>
                <w:kern w:val="0"/>
                <w:sz w:val="21"/>
                <w:szCs w:val="21"/>
                <w:u w:val="none"/>
                <w:lang w:val="en-US" w:eastAsia="zh-CN" w:bidi="ar"/>
              </w:rPr>
              <w:t>参考价</w:t>
            </w:r>
            <w:r>
              <w:rPr>
                <w:rFonts w:hint="eastAsia" w:ascii="宋体" w:hAnsi="宋体" w:eastAsia="宋体" w:cs="宋体"/>
                <w:i w:val="0"/>
                <w:iCs w:val="0"/>
                <w:color w:val="auto"/>
                <w:kern w:val="0"/>
                <w:sz w:val="21"/>
                <w:szCs w:val="21"/>
                <w:u w:val="none"/>
                <w:lang w:val="en-US" w:eastAsia="zh-CN" w:bidi="ar"/>
              </w:rPr>
              <w:t>（元）</w:t>
            </w:r>
          </w:p>
        </w:tc>
      </w:tr>
      <w:tr w14:paraId="09901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B62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经典美式</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F17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AAB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CE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14:paraId="4E3B4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A720">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标准意式</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744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299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4F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14:paraId="22877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443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拿铁</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2621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D6E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3F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bl>
    <w:p w14:paraId="31CCA677">
      <w:pPr>
        <w:widowControl w:val="0"/>
        <w:numPr>
          <w:ilvl w:val="0"/>
          <w:numId w:val="0"/>
        </w:numPr>
        <w:snapToGrid w:val="0"/>
        <w:spacing w:line="360" w:lineRule="exact"/>
        <w:jc w:val="both"/>
        <w:rPr>
          <w:rFonts w:hint="default" w:ascii="宋体" w:hAnsi="宋体" w:cs="Times New Roman"/>
          <w:b/>
          <w:color w:val="auto"/>
          <w:kern w:val="0"/>
          <w:sz w:val="24"/>
          <w:szCs w:val="20"/>
          <w:highlight w:val="none"/>
          <w:lang w:val="en-US" w:eastAsia="zh-CN" w:bidi="ar-SA"/>
        </w:rPr>
      </w:pPr>
    </w:p>
    <w:tbl>
      <w:tblPr>
        <w:tblStyle w:val="13"/>
        <w:tblW w:w="65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31"/>
        <w:gridCol w:w="1056"/>
        <w:gridCol w:w="1029"/>
        <w:gridCol w:w="1374"/>
      </w:tblGrid>
      <w:tr w14:paraId="1717F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BAB71F">
            <w:pP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风味</w:t>
            </w:r>
            <w:r>
              <w:rPr>
                <w:rFonts w:hint="eastAsia" w:ascii="宋体" w:hAnsi="宋体" w:eastAsia="宋体" w:cs="宋体"/>
                <w:i w:val="0"/>
                <w:iCs w:val="0"/>
                <w:color w:val="auto"/>
                <w:kern w:val="0"/>
                <w:sz w:val="24"/>
                <w:szCs w:val="24"/>
                <w:u w:val="none"/>
                <w:lang w:val="en-US" w:eastAsia="zh-CN" w:bidi="ar"/>
              </w:rPr>
              <w:t>咖啡类</w:t>
            </w:r>
          </w:p>
        </w:tc>
      </w:tr>
      <w:tr w14:paraId="68A5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C97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名称</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C8C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D29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容量</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CF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市场</w:t>
            </w:r>
            <w:r>
              <w:rPr>
                <w:rFonts w:hint="eastAsia" w:ascii="宋体" w:hAnsi="宋体" w:cs="宋体"/>
                <w:i w:val="0"/>
                <w:iCs w:val="0"/>
                <w:color w:val="auto"/>
                <w:kern w:val="0"/>
                <w:sz w:val="21"/>
                <w:szCs w:val="21"/>
                <w:u w:val="none"/>
                <w:lang w:val="en-US" w:eastAsia="zh-CN" w:bidi="ar"/>
              </w:rPr>
              <w:t>参考价</w:t>
            </w:r>
            <w:r>
              <w:rPr>
                <w:rFonts w:hint="eastAsia" w:ascii="宋体" w:hAnsi="宋体" w:eastAsia="宋体" w:cs="宋体"/>
                <w:i w:val="0"/>
                <w:iCs w:val="0"/>
                <w:color w:val="auto"/>
                <w:kern w:val="0"/>
                <w:sz w:val="21"/>
                <w:szCs w:val="21"/>
                <w:u w:val="none"/>
                <w:lang w:val="en-US" w:eastAsia="zh-CN" w:bidi="ar"/>
              </w:rPr>
              <w:t>（元）</w:t>
            </w:r>
          </w:p>
        </w:tc>
      </w:tr>
      <w:tr w14:paraId="15089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C97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双柚美式</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337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280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3D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14:paraId="62B97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891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香草拿铁</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CFD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5CC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4A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14:paraId="4A53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ED2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生椰拿铁</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B71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DD6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F2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r>
      <w:tr w14:paraId="565BB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9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7A3D">
            <w:pPr>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鲜榨果汁类</w:t>
            </w:r>
            <w:r>
              <w:rPr>
                <w:rFonts w:hint="eastAsia" w:ascii="宋体" w:hAnsi="宋体" w:cs="宋体"/>
                <w:i w:val="0"/>
                <w:iCs w:val="0"/>
                <w:color w:val="auto"/>
                <w:kern w:val="0"/>
                <w:sz w:val="24"/>
                <w:szCs w:val="24"/>
                <w:u w:val="none"/>
                <w:lang w:val="en-US" w:eastAsia="zh-CN" w:bidi="ar"/>
              </w:rPr>
              <w:t>（不添加水和糖）</w:t>
            </w:r>
          </w:p>
        </w:tc>
      </w:tr>
      <w:tr w14:paraId="4209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BAE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鲜榨橙汁</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299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冰/常温</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DC1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7DE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w:t>
            </w:r>
          </w:p>
        </w:tc>
      </w:tr>
      <w:tr w14:paraId="1EF32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C0B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鲜榨梨汁</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F2A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冰/常温</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412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3A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r>
      <w:tr w14:paraId="24A4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C6B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鲜榨西瓜汁</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5D9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冰/常温</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6D7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400ml</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82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r>
      <w:tr w14:paraId="5B76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9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90AD">
            <w:pPr>
              <w:jc w:val="left"/>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西点甜品</w:t>
            </w:r>
          </w:p>
        </w:tc>
      </w:tr>
      <w:tr w14:paraId="4ECE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D0A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木糠杯</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AAC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EA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100g</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10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r>
      <w:tr w14:paraId="6033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A644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布丁杯</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F3D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924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100g</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71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14:paraId="111B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6C7E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慕斯杯</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F1E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3E2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100g</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C0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r>
      <w:tr w14:paraId="4777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EF5C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纸杯蛋糕</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66B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冷</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A22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100g</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A4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r>
    </w:tbl>
    <w:p w14:paraId="42B8FBD9">
      <w:pPr>
        <w:adjustRightInd w:val="0"/>
        <w:snapToGrid w:val="0"/>
        <w:spacing w:line="460" w:lineRule="exact"/>
        <w:ind w:firstLine="480" w:firstLineChars="200"/>
        <w:rPr>
          <w:rFonts w:hint="default" w:ascii="宋体" w:hAnsi="宋体" w:cs="Times New Roman"/>
          <w:b/>
          <w:color w:val="auto"/>
          <w:kern w:val="0"/>
          <w:sz w:val="24"/>
          <w:szCs w:val="20"/>
          <w:highlight w:val="none"/>
          <w:lang w:val="en-US" w:eastAsia="zh-CN" w:bidi="ar-SA"/>
        </w:rPr>
      </w:pPr>
      <w:r>
        <w:rPr>
          <w:rFonts w:hint="eastAsia"/>
          <w:color w:val="auto"/>
          <w:sz w:val="24"/>
          <w:highlight w:val="none"/>
          <w:lang w:val="en-US" w:eastAsia="zh-CN"/>
        </w:rPr>
        <w:t>（二）菜单变更</w:t>
      </w:r>
    </w:p>
    <w:p w14:paraId="00385D97">
      <w:pPr>
        <w:adjustRightInd w:val="0"/>
        <w:snapToGrid w:val="0"/>
        <w:spacing w:line="46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运营服务期间，中标供应商严禁私自新增、删减、替换经营品类，不得擅自调整饮品、点心售价及产品配方。若因季节更替、原料迭代、职工需求优化等原因需变更菜单、调整产品价格、更换原料品牌，必须向管理部门提交书面申请、新版菜单明细表、原料资质及调价佐证材料，经院方管理部门审核签字备案同意后方可执行；未经院方审批擅自变更菜单、调价、上架新品的，院方有权责令立即下架整改。</w:t>
      </w:r>
    </w:p>
    <w:p w14:paraId="16983B9D">
      <w:pPr>
        <w:adjustRightInd w:val="0"/>
        <w:snapToGrid w:val="0"/>
        <w:spacing w:line="460" w:lineRule="exact"/>
        <w:ind w:firstLine="480" w:firstLineChars="200"/>
        <w:rPr>
          <w:rFonts w:hint="default"/>
          <w:color w:val="auto"/>
          <w:sz w:val="24"/>
          <w:highlight w:val="non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827A4F1">
      <w:pPr>
        <w:pStyle w:val="2"/>
        <w:spacing w:before="120" w:beforeLines="50" w:after="120" w:afterLines="50" w:line="360" w:lineRule="auto"/>
        <w:jc w:val="center"/>
        <w:rPr>
          <w:rFonts w:ascii="宋体" w:hAnsi="宋体"/>
          <w:b w:val="0"/>
          <w:color w:val="auto"/>
          <w:szCs w:val="30"/>
          <w:highlight w:val="none"/>
        </w:rPr>
      </w:pPr>
      <w:r>
        <w:rPr>
          <w:rFonts w:hint="eastAsia"/>
          <w:color w:val="auto"/>
          <w:sz w:val="36"/>
          <w:szCs w:val="36"/>
          <w:highlight w:val="none"/>
          <w:lang w:val="en-US" w:eastAsia="zh-CN"/>
        </w:rPr>
        <w:t xml:space="preserve">第二章 </w:t>
      </w:r>
      <w:r>
        <w:rPr>
          <w:rFonts w:ascii="宋体" w:hAnsi="宋体"/>
          <w:color w:val="auto"/>
          <w:sz w:val="36"/>
          <w:szCs w:val="36"/>
          <w:highlight w:val="none"/>
        </w:rPr>
        <w:t>成交评定标准</w:t>
      </w:r>
    </w:p>
    <w:p w14:paraId="3406AB84">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为公正、公平、科学地选择成交供应商，根据《中华人民共和国政府采购法》等有关法律法规的规定，并结合本项目的实际，制定本办法。</w:t>
      </w:r>
    </w:p>
    <w:p w14:paraId="2B165223">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一、</w:t>
      </w:r>
      <w:r>
        <w:rPr>
          <w:rFonts w:hint="eastAsia" w:ascii="宋体" w:hAnsi="宋体"/>
          <w:color w:val="auto"/>
          <w:sz w:val="24"/>
          <w:highlight w:val="none"/>
        </w:rPr>
        <w:t>本项目</w:t>
      </w:r>
      <w:r>
        <w:rPr>
          <w:rFonts w:hint="eastAsia" w:ascii="宋体" w:hAnsi="宋体" w:cs="宋体"/>
          <w:b/>
          <w:color w:val="auto"/>
          <w:kern w:val="0"/>
          <w:sz w:val="24"/>
          <w:highlight w:val="none"/>
          <w:lang w:val="en-US" w:eastAsia="zh-CN"/>
        </w:rPr>
        <w:t>采用综合评分法</w:t>
      </w:r>
      <w:r>
        <w:rPr>
          <w:rFonts w:hint="eastAsia" w:ascii="宋体" w:hAnsi="宋体"/>
          <w:color w:val="auto"/>
          <w:sz w:val="24"/>
          <w:highlight w:val="none"/>
        </w:rPr>
        <w:t>。</w:t>
      </w:r>
    </w:p>
    <w:p w14:paraId="61DC8730">
      <w:pPr>
        <w:snapToGrid w:val="0"/>
        <w:spacing w:line="380" w:lineRule="exact"/>
        <w:ind w:firstLine="472" w:firstLineChars="196"/>
        <w:jc w:val="left"/>
        <w:outlineLvl w:val="0"/>
        <w:rPr>
          <w:rFonts w:ascii="宋体" w:hAnsi="宋体"/>
          <w:b/>
          <w:color w:val="auto"/>
          <w:sz w:val="24"/>
          <w:highlight w:val="none"/>
        </w:rPr>
      </w:pPr>
      <w:r>
        <w:rPr>
          <w:rFonts w:hint="eastAsia" w:ascii="宋体" w:hAnsi="宋体"/>
          <w:b/>
          <w:color w:val="auto"/>
          <w:sz w:val="24"/>
          <w:highlight w:val="none"/>
          <w:lang w:val="en-US" w:eastAsia="zh-CN"/>
        </w:rPr>
        <w:t>二、谈判</w:t>
      </w:r>
      <w:r>
        <w:rPr>
          <w:rFonts w:hint="eastAsia" w:ascii="宋体" w:hAnsi="宋体"/>
          <w:b/>
          <w:color w:val="auto"/>
          <w:sz w:val="24"/>
          <w:highlight w:val="none"/>
        </w:rPr>
        <w:t>文件的组成</w:t>
      </w:r>
    </w:p>
    <w:p w14:paraId="432034F1">
      <w:pPr>
        <w:snapToGrid w:val="0"/>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由技术文件组成。</w:t>
      </w:r>
    </w:p>
    <w:p w14:paraId="381B8D05">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1技术标:</w:t>
      </w:r>
    </w:p>
    <w:p w14:paraId="101CAB11">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应包括下列内容（并不仅限于以下）并应按顺序装订成册</w:t>
      </w:r>
      <w:r>
        <w:rPr>
          <w:rFonts w:hint="eastAsia" w:ascii="Times New Roman" w:hAnsi="Times New Roman"/>
          <w:b/>
          <w:bCs/>
          <w:color w:val="auto"/>
          <w:sz w:val="24"/>
          <w:szCs w:val="24"/>
          <w:highlight w:val="none"/>
          <w:lang w:eastAsia="zh-CN"/>
        </w:rPr>
        <w:t>，</w:t>
      </w:r>
      <w:r>
        <w:rPr>
          <w:rFonts w:hint="eastAsia" w:ascii="Times New Roman" w:hAnsi="Times New Roman"/>
          <w:b/>
          <w:bCs/>
          <w:color w:val="auto"/>
          <w:sz w:val="24"/>
          <w:szCs w:val="24"/>
          <w:highlight w:val="none"/>
          <w:lang w:val="en-US" w:eastAsia="zh-CN"/>
        </w:rPr>
        <w:t>技术标文件要有目录，并注明页码</w:t>
      </w:r>
      <w:r>
        <w:rPr>
          <w:rFonts w:ascii="Times New Roman" w:hAnsi="Times New Roman"/>
          <w:b/>
          <w:bCs/>
          <w:color w:val="auto"/>
          <w:sz w:val="24"/>
          <w:szCs w:val="24"/>
          <w:highlight w:val="none"/>
        </w:rPr>
        <w:t>：(复印件需加盖单位公章，提供的所有证书应在有效期内)</w:t>
      </w:r>
    </w:p>
    <w:tbl>
      <w:tblPr>
        <w:tblStyle w:val="13"/>
        <w:tblW w:w="90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3017"/>
        <w:gridCol w:w="3765"/>
        <w:gridCol w:w="705"/>
        <w:gridCol w:w="930"/>
      </w:tblGrid>
      <w:tr w14:paraId="0C00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43" w:type="dxa"/>
            <w:gridSpan w:val="4"/>
            <w:tcBorders>
              <w:top w:val="nil"/>
              <w:left w:val="nil"/>
              <w:bottom w:val="nil"/>
              <w:right w:val="nil"/>
            </w:tcBorders>
            <w:shd w:val="clear" w:color="auto" w:fill="auto"/>
            <w:noWrap/>
            <w:vAlign w:val="center"/>
          </w:tcPr>
          <w:p w14:paraId="24329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技术标文件目录</w:t>
            </w:r>
          </w:p>
        </w:tc>
        <w:tc>
          <w:tcPr>
            <w:tcW w:w="930" w:type="dxa"/>
            <w:tcBorders>
              <w:top w:val="nil"/>
              <w:left w:val="nil"/>
              <w:bottom w:val="nil"/>
              <w:right w:val="nil"/>
            </w:tcBorders>
            <w:shd w:val="clear" w:color="auto" w:fill="auto"/>
            <w:noWrap/>
            <w:vAlign w:val="center"/>
          </w:tcPr>
          <w:p w14:paraId="3F5532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BC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2189">
            <w:pPr>
              <w:keepNext w:val="0"/>
              <w:keepLines w:val="0"/>
              <w:widowControl/>
              <w:suppressLineNumbers w:val="0"/>
              <w:jc w:val="center"/>
              <w:textAlignment w:val="center"/>
              <w:rPr>
                <w:rFonts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D6EE">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需提供资料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B1A1">
            <w:pPr>
              <w:jc w:val="center"/>
              <w:rPr>
                <w:rFonts w:hint="eastAsia" w:ascii="黑体" w:hAnsi="宋体" w:eastAsia="黑体" w:cs="黑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014C">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页码</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0D60">
            <w:pPr>
              <w:keepNext w:val="0"/>
              <w:keepLines w:val="0"/>
              <w:widowControl/>
              <w:suppressLineNumbers w:val="0"/>
              <w:jc w:val="center"/>
              <w:textAlignment w:val="center"/>
              <w:rPr>
                <w:rFonts w:hint="default" w:ascii="黑体" w:hAnsi="宋体" w:eastAsia="黑体" w:cs="黑体"/>
                <w:i w:val="0"/>
                <w:iCs w:val="0"/>
                <w:color w:val="auto"/>
                <w:kern w:val="0"/>
                <w:sz w:val="22"/>
                <w:szCs w:val="22"/>
                <w:highlight w:val="none"/>
                <w:u w:val="none"/>
                <w:lang w:val="en-US" w:eastAsia="zh-CN" w:bidi="ar"/>
              </w:rPr>
            </w:pPr>
            <w:r>
              <w:rPr>
                <w:rFonts w:hint="eastAsia" w:ascii="黑体" w:hAnsi="宋体" w:eastAsia="黑体" w:cs="黑体"/>
                <w:i w:val="0"/>
                <w:iCs w:val="0"/>
                <w:color w:val="auto"/>
                <w:kern w:val="0"/>
                <w:sz w:val="22"/>
                <w:szCs w:val="22"/>
                <w:highlight w:val="none"/>
                <w:u w:val="none"/>
                <w:lang w:val="en-US" w:eastAsia="zh-CN" w:bidi="ar"/>
              </w:rPr>
              <w:t>备注</w:t>
            </w:r>
          </w:p>
        </w:tc>
      </w:tr>
      <w:tr w14:paraId="6C55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8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9A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投标单位情况介绍</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1C54">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FA86">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E23F">
            <w:pPr>
              <w:jc w:val="center"/>
              <w:rPr>
                <w:rFonts w:hint="eastAsia" w:ascii="宋体" w:hAnsi="宋体" w:eastAsia="宋体" w:cs="宋体"/>
                <w:i w:val="0"/>
                <w:iCs w:val="0"/>
                <w:color w:val="auto"/>
                <w:sz w:val="21"/>
                <w:szCs w:val="21"/>
                <w:highlight w:val="none"/>
                <w:u w:val="none"/>
              </w:rPr>
            </w:pPr>
          </w:p>
        </w:tc>
      </w:tr>
      <w:tr w14:paraId="4D0A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03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9D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有效的营业执照副本复印件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5392">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6CD0913">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EAA8F5B">
            <w:pPr>
              <w:jc w:val="center"/>
              <w:rPr>
                <w:rFonts w:hint="eastAsia" w:ascii="宋体" w:hAnsi="宋体" w:eastAsia="宋体" w:cs="宋体"/>
                <w:i w:val="0"/>
                <w:iCs w:val="0"/>
                <w:color w:val="auto"/>
                <w:sz w:val="21"/>
                <w:szCs w:val="21"/>
                <w:highlight w:val="none"/>
                <w:u w:val="none"/>
              </w:rPr>
            </w:pPr>
          </w:p>
        </w:tc>
      </w:tr>
      <w:tr w14:paraId="7351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89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F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法定代表人身份证复印件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688A">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D75F784">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56E74">
            <w:pPr>
              <w:jc w:val="center"/>
              <w:rPr>
                <w:rFonts w:hint="eastAsia" w:ascii="宋体" w:hAnsi="宋体" w:eastAsia="宋体" w:cs="宋体"/>
                <w:i w:val="0"/>
                <w:iCs w:val="0"/>
                <w:color w:val="auto"/>
                <w:sz w:val="21"/>
                <w:szCs w:val="21"/>
                <w:highlight w:val="none"/>
                <w:u w:val="none"/>
              </w:rPr>
            </w:pPr>
          </w:p>
        </w:tc>
      </w:tr>
      <w:tr w14:paraId="2711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01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E6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授权委托书、授权代表身份证复印件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A69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如法定代表人出席投标会的不须提供。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225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DB6">
            <w:pPr>
              <w:jc w:val="center"/>
              <w:rPr>
                <w:rFonts w:hint="eastAsia" w:ascii="宋体" w:hAnsi="宋体" w:eastAsia="宋体" w:cs="宋体"/>
                <w:i w:val="0"/>
                <w:iCs w:val="0"/>
                <w:color w:val="auto"/>
                <w:sz w:val="21"/>
                <w:szCs w:val="21"/>
                <w:highlight w:val="none"/>
                <w:u w:val="none"/>
              </w:rPr>
            </w:pPr>
          </w:p>
        </w:tc>
      </w:tr>
      <w:tr w14:paraId="08B0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2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5C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相关业绩</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151C">
            <w:pPr>
              <w:adjustRightInd w:val="0"/>
              <w:snapToGrid w:val="0"/>
              <w:jc w:val="left"/>
              <w:rPr>
                <w:rFonts w:ascii="宋体" w:hAnsi="宋体" w:eastAsia="宋体" w:cs="宋体"/>
                <w:color w:val="auto"/>
                <w:kern w:val="0"/>
                <w:sz w:val="21"/>
                <w:szCs w:val="21"/>
                <w:highlight w:val="none"/>
                <w14:ligatures w14:val="none"/>
              </w:rPr>
            </w:pPr>
            <w:r>
              <w:rPr>
                <w:rFonts w:ascii="宋体" w:hAnsi="宋体" w:eastAsia="宋体" w:cs="宋体"/>
                <w:color w:val="auto"/>
                <w:kern w:val="0"/>
                <w:sz w:val="21"/>
                <w:szCs w:val="21"/>
                <w:highlight w:val="none"/>
                <w14:ligatures w14:val="none"/>
              </w:rPr>
              <w:t>202</w:t>
            </w:r>
            <w:r>
              <w:rPr>
                <w:rFonts w:hint="eastAsia" w:ascii="宋体" w:hAnsi="宋体" w:cs="宋体"/>
                <w:color w:val="auto"/>
                <w:kern w:val="0"/>
                <w:sz w:val="21"/>
                <w:szCs w:val="21"/>
                <w:highlight w:val="none"/>
                <w:lang w:val="en-US" w:eastAsia="zh-CN"/>
                <w14:ligatures w14:val="none"/>
              </w:rPr>
              <w:t>3</w:t>
            </w:r>
            <w:r>
              <w:rPr>
                <w:rFonts w:hint="eastAsia" w:ascii="宋体" w:hAnsi="宋体" w:eastAsia="宋体" w:cs="宋体"/>
                <w:color w:val="auto"/>
                <w:kern w:val="0"/>
                <w:sz w:val="21"/>
                <w:szCs w:val="21"/>
                <w:highlight w:val="none"/>
                <w14:ligatures w14:val="none"/>
              </w:rPr>
              <w:t>年</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月</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日至提交投标文件截止日前，投标人承担的同类项目。</w:t>
            </w:r>
          </w:p>
          <w:p w14:paraId="0867F87D">
            <w:pPr>
              <w:jc w:val="left"/>
              <w:rPr>
                <w:rFonts w:hint="default" w:ascii="宋体" w:hAnsi="宋体" w:eastAsia="宋体" w:cs="宋体"/>
                <w:i w:val="0"/>
                <w:iCs w:val="0"/>
                <w:color w:val="auto"/>
                <w:sz w:val="21"/>
                <w:szCs w:val="21"/>
                <w:highlight w:val="none"/>
                <w:u w:val="none"/>
                <w:lang w:val="en-US"/>
              </w:rPr>
            </w:pPr>
            <w:r>
              <w:rPr>
                <w:rFonts w:hint="eastAsia" w:ascii="宋体" w:hAnsi="宋体" w:eastAsia="宋体" w:cs="宋体"/>
                <w:color w:val="auto"/>
                <w:kern w:val="0"/>
                <w:sz w:val="21"/>
                <w:szCs w:val="21"/>
                <w:highlight w:val="none"/>
                <w14:ligatures w14:val="none"/>
              </w:rPr>
              <w:t>证明材料：合同复印件。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946C3D">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7CF20">
            <w:pPr>
              <w:jc w:val="center"/>
              <w:rPr>
                <w:rFonts w:hint="eastAsia" w:ascii="宋体" w:hAnsi="宋体" w:eastAsia="宋体" w:cs="宋体"/>
                <w:i w:val="0"/>
                <w:iCs w:val="0"/>
                <w:color w:val="auto"/>
                <w:sz w:val="21"/>
                <w:szCs w:val="21"/>
                <w:highlight w:val="none"/>
                <w:u w:val="none"/>
              </w:rPr>
            </w:pPr>
          </w:p>
        </w:tc>
      </w:tr>
      <w:tr w14:paraId="0E553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0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41A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投入本项目运作的人员一览表</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C9B8">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ECE3B8">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1A49ECB">
            <w:pPr>
              <w:jc w:val="center"/>
              <w:rPr>
                <w:rFonts w:hint="eastAsia" w:ascii="宋体" w:hAnsi="宋体" w:eastAsia="宋体" w:cs="宋体"/>
                <w:i w:val="0"/>
                <w:iCs w:val="0"/>
                <w:color w:val="auto"/>
                <w:sz w:val="21"/>
                <w:szCs w:val="21"/>
                <w:highlight w:val="none"/>
                <w:u w:val="none"/>
              </w:rPr>
            </w:pPr>
          </w:p>
        </w:tc>
      </w:tr>
      <w:tr w14:paraId="3860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C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B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投入本项目</w:t>
            </w:r>
            <w:r>
              <w:rPr>
                <w:rStyle w:val="20"/>
                <w:rFonts w:hint="eastAsia"/>
                <w:color w:val="auto"/>
                <w:highlight w:val="none"/>
                <w:lang w:val="en-US" w:eastAsia="zh-CN" w:bidi="ar"/>
              </w:rPr>
              <w:t>的设备</w:t>
            </w:r>
            <w:r>
              <w:rPr>
                <w:rStyle w:val="20"/>
                <w:color w:val="auto"/>
                <w:highlight w:val="none"/>
                <w:lang w:val="en-US" w:eastAsia="zh-CN" w:bidi="ar"/>
              </w:rPr>
              <w:t>一览表</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65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8D055AF">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2BC7064">
            <w:pPr>
              <w:jc w:val="center"/>
              <w:rPr>
                <w:rFonts w:hint="eastAsia" w:ascii="宋体" w:hAnsi="宋体" w:eastAsia="宋体" w:cs="宋体"/>
                <w:i w:val="0"/>
                <w:iCs w:val="0"/>
                <w:color w:val="auto"/>
                <w:sz w:val="21"/>
                <w:szCs w:val="21"/>
                <w:highlight w:val="none"/>
                <w:u w:val="none"/>
              </w:rPr>
            </w:pPr>
          </w:p>
        </w:tc>
      </w:tr>
      <w:tr w14:paraId="7008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0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6FF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项目运作的详细方案</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9E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752EF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004E241B">
            <w:pPr>
              <w:jc w:val="center"/>
              <w:rPr>
                <w:rFonts w:hint="eastAsia" w:ascii="宋体" w:hAnsi="宋体" w:eastAsia="宋体" w:cs="宋体"/>
                <w:i w:val="0"/>
                <w:iCs w:val="0"/>
                <w:color w:val="auto"/>
                <w:sz w:val="21"/>
                <w:szCs w:val="21"/>
                <w:highlight w:val="none"/>
                <w:u w:val="none"/>
              </w:rPr>
            </w:pPr>
          </w:p>
        </w:tc>
      </w:tr>
      <w:tr w14:paraId="538E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2C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9</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B9E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招标文件服务要求中规定需要投标人作出说明或描述的。</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1190814">
            <w:pPr>
              <w:jc w:val="both"/>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1E845E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152C98BB">
            <w:pPr>
              <w:jc w:val="center"/>
              <w:rPr>
                <w:rFonts w:hint="eastAsia" w:ascii="宋体" w:hAnsi="宋体" w:eastAsia="宋体" w:cs="宋体"/>
                <w:i w:val="0"/>
                <w:iCs w:val="0"/>
                <w:color w:val="auto"/>
                <w:sz w:val="21"/>
                <w:szCs w:val="21"/>
                <w:highlight w:val="none"/>
                <w:u w:val="none"/>
              </w:rPr>
            </w:pPr>
          </w:p>
        </w:tc>
      </w:tr>
      <w:tr w14:paraId="038D6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CE8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10</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196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投标人认为须提供的其他资料。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0C17088">
            <w:pPr>
              <w:jc w:val="both"/>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9447">
            <w:pP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B9B41">
            <w:pPr>
              <w:rPr>
                <w:rFonts w:hint="eastAsia" w:ascii="宋体" w:hAnsi="宋体" w:eastAsia="宋体" w:cs="宋体"/>
                <w:i w:val="0"/>
                <w:iCs w:val="0"/>
                <w:color w:val="auto"/>
                <w:sz w:val="22"/>
                <w:szCs w:val="22"/>
                <w:highlight w:val="none"/>
                <w:u w:val="none"/>
              </w:rPr>
            </w:pPr>
          </w:p>
        </w:tc>
      </w:tr>
    </w:tbl>
    <w:p w14:paraId="2D4E3546">
      <w:pPr>
        <w:rPr>
          <w:color w:val="auto"/>
          <w:highlight w:val="none"/>
        </w:rPr>
      </w:pPr>
    </w:p>
    <w:p w14:paraId="21D92397">
      <w:pPr>
        <w:pStyle w:val="2"/>
        <w:spacing w:before="120" w:beforeLines="50" w:after="120" w:afterLines="50" w:line="360" w:lineRule="auto"/>
        <w:ind w:firstLine="2168" w:firstLineChars="600"/>
        <w:jc w:val="both"/>
        <w:rPr>
          <w:rFonts w:hint="eastAsia"/>
          <w:color w:val="auto"/>
          <w:sz w:val="36"/>
          <w:szCs w:val="36"/>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BBB41A9">
      <w:pPr>
        <w:spacing w:before="275" w:line="224" w:lineRule="auto"/>
        <w:ind w:left="3481"/>
        <w:jc w:val="left"/>
        <w:rPr>
          <w:rFonts w:hint="eastAsia" w:ascii="宋体" w:hAnsi="宋体" w:eastAsia="宋体" w:cs="宋体"/>
          <w:b/>
          <w:color w:val="auto"/>
          <w:kern w:val="44"/>
          <w:sz w:val="36"/>
          <w:szCs w:val="36"/>
          <w:highlight w:val="none"/>
          <w:lang w:val="en-US" w:eastAsia="zh-CN" w:bidi="ar"/>
        </w:rPr>
      </w:pPr>
      <w:r>
        <w:rPr>
          <w:rFonts w:hint="eastAsia" w:ascii="宋体" w:hAnsi="宋体" w:eastAsia="宋体" w:cs="宋体"/>
          <w:b/>
          <w:color w:val="auto"/>
          <w:kern w:val="44"/>
          <w:sz w:val="36"/>
          <w:szCs w:val="36"/>
          <w:highlight w:val="none"/>
          <w:lang w:val="en-US" w:eastAsia="zh-CN" w:bidi="ar"/>
        </w:rPr>
        <w:t>第三章   评标办法</w:t>
      </w:r>
    </w:p>
    <w:p w14:paraId="76B65FAE">
      <w:pPr>
        <w:spacing w:before="185" w:line="380" w:lineRule="auto"/>
        <w:ind w:left="143" w:right="368" w:firstLine="506"/>
        <w:rPr>
          <w:rFonts w:hint="eastAsia" w:cs="Times New Roman"/>
          <w:color w:val="auto"/>
          <w:sz w:val="24"/>
          <w:highlight w:val="none"/>
        </w:rPr>
      </w:pPr>
    </w:p>
    <w:p w14:paraId="5816367E">
      <w:pPr>
        <w:spacing w:before="185" w:line="380" w:lineRule="auto"/>
        <w:ind w:left="143" w:right="368" w:firstLine="506"/>
        <w:rPr>
          <w:rFonts w:hint="eastAsia" w:cs="Times New Roman"/>
          <w:color w:val="auto"/>
          <w:sz w:val="24"/>
          <w:highlight w:val="none"/>
        </w:rPr>
      </w:pPr>
      <w:r>
        <w:rPr>
          <w:rFonts w:hint="eastAsia" w:cs="Times New Roman"/>
          <w:color w:val="auto"/>
          <w:sz w:val="24"/>
          <w:highlight w:val="none"/>
        </w:rPr>
        <w:t>本项目总分为</w:t>
      </w:r>
      <w:r>
        <w:rPr>
          <w:rFonts w:hint="eastAsia" w:cs="Times New Roman"/>
          <w:color w:val="auto"/>
          <w:sz w:val="24"/>
          <w:highlight w:val="none"/>
          <w:lang w:val="en-US" w:eastAsia="zh-CN"/>
        </w:rPr>
        <w:t>100</w:t>
      </w:r>
      <w:r>
        <w:rPr>
          <w:rFonts w:hint="eastAsia" w:cs="Times New Roman"/>
          <w:color w:val="auto"/>
          <w:sz w:val="24"/>
          <w:highlight w:val="none"/>
        </w:rPr>
        <w:t>分。其中技术分</w:t>
      </w:r>
      <w:r>
        <w:rPr>
          <w:rFonts w:hint="eastAsia" w:cs="Times New Roman"/>
          <w:color w:val="auto"/>
          <w:sz w:val="24"/>
          <w:highlight w:val="none"/>
          <w:lang w:val="en-US" w:eastAsia="zh-CN"/>
        </w:rPr>
        <w:t>90</w:t>
      </w:r>
      <w:r>
        <w:rPr>
          <w:rFonts w:hint="eastAsia" w:cs="Times New Roman"/>
          <w:color w:val="auto"/>
          <w:sz w:val="24"/>
          <w:highlight w:val="none"/>
        </w:rPr>
        <w:t>分、商务报价</w:t>
      </w:r>
      <w:r>
        <w:rPr>
          <w:rFonts w:hint="eastAsia" w:cs="Times New Roman"/>
          <w:color w:val="auto"/>
          <w:sz w:val="24"/>
          <w:highlight w:val="none"/>
          <w:lang w:val="en-US" w:eastAsia="zh-CN"/>
        </w:rPr>
        <w:t>10</w:t>
      </w:r>
      <w:r>
        <w:rPr>
          <w:rFonts w:hint="eastAsia" w:cs="Times New Roman"/>
          <w:color w:val="auto"/>
          <w:sz w:val="24"/>
          <w:highlight w:val="none"/>
        </w:rPr>
        <w:t>分。</w:t>
      </w:r>
    </w:p>
    <w:p w14:paraId="7A25A9F0">
      <w:pPr>
        <w:spacing w:before="56" w:line="389" w:lineRule="exact"/>
        <w:ind w:left="144"/>
        <w:outlineLvl w:val="6"/>
        <w:rPr>
          <w:rFonts w:hint="eastAsia" w:ascii="宋体" w:hAnsi="宋体"/>
          <w:b/>
          <w:color w:val="auto"/>
          <w:sz w:val="24"/>
          <w:highlight w:val="none"/>
        </w:rPr>
      </w:pPr>
      <w:r>
        <w:rPr>
          <w:rFonts w:hint="eastAsia" w:ascii="宋体" w:hAnsi="宋体"/>
          <w:b/>
          <w:color w:val="auto"/>
          <w:sz w:val="24"/>
          <w:highlight w:val="none"/>
        </w:rPr>
        <w:t>1、技术评审 (总分</w:t>
      </w:r>
      <w:r>
        <w:rPr>
          <w:rFonts w:hint="eastAsia" w:ascii="宋体" w:hAnsi="宋体"/>
          <w:b/>
          <w:color w:val="auto"/>
          <w:sz w:val="24"/>
          <w:highlight w:val="none"/>
          <w:lang w:val="en-US" w:eastAsia="zh-CN"/>
        </w:rPr>
        <w:t>90</w:t>
      </w:r>
      <w:r>
        <w:rPr>
          <w:rFonts w:hint="eastAsia" w:ascii="宋体" w:hAnsi="宋体"/>
          <w:b/>
          <w:color w:val="auto"/>
          <w:sz w:val="24"/>
          <w:highlight w:val="none"/>
        </w:rPr>
        <w:t>分)</w:t>
      </w:r>
    </w:p>
    <w:p w14:paraId="610123FA">
      <w:pPr>
        <w:spacing w:before="185" w:line="380" w:lineRule="auto"/>
        <w:ind w:left="143" w:right="368" w:firstLine="506"/>
        <w:rPr>
          <w:rFonts w:ascii="宋体" w:hAnsi="宋体" w:eastAsia="宋体" w:cs="宋体"/>
          <w:color w:val="auto"/>
          <w:sz w:val="23"/>
          <w:szCs w:val="23"/>
          <w:highlight w:val="none"/>
        </w:rPr>
      </w:pPr>
      <w:r>
        <w:rPr>
          <w:color w:val="auto"/>
          <w:sz w:val="24"/>
          <w:highlight w:val="none"/>
        </w:rPr>
        <w:t>评标</w:t>
      </w:r>
      <w:r>
        <w:rPr>
          <w:rFonts w:hint="eastAsia"/>
          <w:color w:val="auto"/>
          <w:sz w:val="24"/>
          <w:highlight w:val="none"/>
          <w:lang w:val="en-US" w:eastAsia="zh-CN"/>
        </w:rPr>
        <w:t>小组</w:t>
      </w:r>
      <w:r>
        <w:rPr>
          <w:color w:val="auto"/>
          <w:sz w:val="24"/>
          <w:highlight w:val="none"/>
        </w:rPr>
        <w:t>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w:t>
      </w:r>
      <w:r>
        <w:rPr>
          <w:rFonts w:hint="eastAsia"/>
          <w:color w:val="auto"/>
          <w:sz w:val="24"/>
          <w:highlight w:val="none"/>
          <w:lang w:val="en-US" w:eastAsia="zh-CN"/>
        </w:rPr>
        <w:t>小组</w:t>
      </w:r>
      <w:r>
        <w:rPr>
          <w:color w:val="auto"/>
          <w:sz w:val="24"/>
          <w:highlight w:val="none"/>
        </w:rPr>
        <w:t>所有成员的有效评分的算术平均值，计算时保留小数2位。</w:t>
      </w:r>
    </w:p>
    <w:p w14:paraId="73D9E3C8">
      <w:pPr>
        <w:spacing w:line="251" w:lineRule="auto"/>
        <w:rPr>
          <w:rFonts w:ascii="Arial"/>
          <w:color w:val="auto"/>
          <w:sz w:val="21"/>
          <w:highlight w:val="none"/>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438"/>
        <w:gridCol w:w="1205"/>
        <w:gridCol w:w="6018"/>
        <w:gridCol w:w="786"/>
      </w:tblGrid>
      <w:tr w14:paraId="119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35" w:type="pct"/>
            <w:shd w:val="clear" w:color="auto" w:fill="auto"/>
            <w:vAlign w:val="center"/>
          </w:tcPr>
          <w:p w14:paraId="05AB2D72">
            <w:pPr>
              <w:jc w:val="center"/>
              <w:rPr>
                <w:rFonts w:hint="eastAsia"/>
                <w:color w:val="auto"/>
                <w:sz w:val="24"/>
                <w:szCs w:val="24"/>
              </w:rPr>
            </w:pPr>
            <w:r>
              <w:rPr>
                <w:rFonts w:hint="eastAsia"/>
                <w:color w:val="auto"/>
                <w:sz w:val="24"/>
                <w:szCs w:val="24"/>
              </w:rPr>
              <w:t>序号</w:t>
            </w:r>
          </w:p>
        </w:tc>
        <w:tc>
          <w:tcPr>
            <w:tcW w:w="710" w:type="pct"/>
            <w:shd w:val="clear" w:color="auto" w:fill="auto"/>
            <w:vAlign w:val="center"/>
          </w:tcPr>
          <w:p w14:paraId="12FB2A23">
            <w:pPr>
              <w:jc w:val="center"/>
              <w:rPr>
                <w:rFonts w:hint="eastAsia"/>
                <w:color w:val="auto"/>
                <w:sz w:val="24"/>
                <w:szCs w:val="24"/>
              </w:rPr>
            </w:pPr>
            <w:r>
              <w:rPr>
                <w:rFonts w:hint="eastAsia"/>
                <w:color w:val="auto"/>
                <w:sz w:val="24"/>
                <w:szCs w:val="24"/>
              </w:rPr>
              <w:t>评分项</w:t>
            </w:r>
          </w:p>
        </w:tc>
        <w:tc>
          <w:tcPr>
            <w:tcW w:w="595" w:type="pct"/>
            <w:shd w:val="clear" w:color="auto" w:fill="auto"/>
            <w:vAlign w:val="center"/>
          </w:tcPr>
          <w:p w14:paraId="488C2B46">
            <w:pPr>
              <w:jc w:val="center"/>
              <w:rPr>
                <w:rFonts w:hint="eastAsia"/>
                <w:color w:val="auto"/>
                <w:sz w:val="24"/>
                <w:szCs w:val="24"/>
                <w:lang w:eastAsia="zh-CN"/>
              </w:rPr>
            </w:pPr>
            <w:r>
              <w:rPr>
                <w:rFonts w:hint="eastAsia"/>
                <w:color w:val="auto"/>
                <w:sz w:val="24"/>
                <w:szCs w:val="24"/>
                <w:lang w:val="en-US" w:eastAsia="zh-CN"/>
              </w:rPr>
              <w:t>类型</w:t>
            </w:r>
          </w:p>
        </w:tc>
        <w:tc>
          <w:tcPr>
            <w:tcW w:w="2971" w:type="pct"/>
            <w:shd w:val="clear" w:color="auto" w:fill="auto"/>
            <w:vAlign w:val="center"/>
          </w:tcPr>
          <w:p w14:paraId="4464FCDD">
            <w:pPr>
              <w:jc w:val="center"/>
              <w:rPr>
                <w:rFonts w:hint="eastAsia"/>
                <w:color w:val="auto"/>
                <w:sz w:val="24"/>
                <w:szCs w:val="24"/>
              </w:rPr>
            </w:pPr>
            <w:r>
              <w:rPr>
                <w:rFonts w:hint="eastAsia"/>
                <w:color w:val="auto"/>
                <w:sz w:val="24"/>
                <w:szCs w:val="24"/>
              </w:rPr>
              <w:t>评审因素</w:t>
            </w:r>
          </w:p>
        </w:tc>
        <w:tc>
          <w:tcPr>
            <w:tcW w:w="388" w:type="pct"/>
            <w:shd w:val="clear" w:color="auto" w:fill="auto"/>
            <w:vAlign w:val="center"/>
          </w:tcPr>
          <w:p w14:paraId="71457B5B">
            <w:pPr>
              <w:jc w:val="center"/>
              <w:rPr>
                <w:rFonts w:hint="eastAsia"/>
                <w:color w:val="auto"/>
                <w:sz w:val="24"/>
                <w:szCs w:val="24"/>
              </w:rPr>
            </w:pPr>
            <w:r>
              <w:rPr>
                <w:rFonts w:hint="eastAsia"/>
                <w:color w:val="auto"/>
                <w:sz w:val="24"/>
                <w:szCs w:val="24"/>
              </w:rPr>
              <w:t>分值</w:t>
            </w:r>
          </w:p>
        </w:tc>
      </w:tr>
      <w:tr w14:paraId="5095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35" w:type="pct"/>
            <w:shd w:val="clear" w:color="auto" w:fill="auto"/>
            <w:vAlign w:val="center"/>
          </w:tcPr>
          <w:p w14:paraId="70CF04A3">
            <w:pPr>
              <w:jc w:val="center"/>
              <w:rPr>
                <w:rFonts w:hint="eastAsia"/>
                <w:color w:val="auto"/>
                <w:sz w:val="24"/>
                <w:szCs w:val="24"/>
                <w:lang w:val="en-US" w:eastAsia="zh-CN"/>
              </w:rPr>
            </w:pPr>
            <w:r>
              <w:rPr>
                <w:rFonts w:hint="eastAsia"/>
                <w:color w:val="auto"/>
                <w:sz w:val="24"/>
                <w:szCs w:val="24"/>
                <w:lang w:val="en-US" w:eastAsia="zh-CN"/>
              </w:rPr>
              <w:t>1</w:t>
            </w:r>
          </w:p>
        </w:tc>
        <w:tc>
          <w:tcPr>
            <w:tcW w:w="710" w:type="pct"/>
            <w:shd w:val="clear" w:color="auto" w:fill="auto"/>
            <w:vAlign w:val="center"/>
          </w:tcPr>
          <w:p w14:paraId="25BAAED2">
            <w:pPr>
              <w:jc w:val="center"/>
              <w:rPr>
                <w:rFonts w:hint="eastAsia"/>
                <w:color w:val="auto"/>
                <w:sz w:val="24"/>
                <w:szCs w:val="24"/>
                <w:lang w:val="en-US" w:eastAsia="zh-CN"/>
              </w:rPr>
            </w:pPr>
            <w:r>
              <w:rPr>
                <w:rFonts w:hint="eastAsia"/>
                <w:color w:val="auto"/>
                <w:sz w:val="24"/>
                <w:szCs w:val="24"/>
                <w:lang w:val="en-US" w:eastAsia="zh-CN"/>
              </w:rPr>
              <w:t>业绩</w:t>
            </w:r>
          </w:p>
          <w:p w14:paraId="60B8097D">
            <w:pPr>
              <w:jc w:val="center"/>
              <w:rPr>
                <w:rFonts w:hint="default"/>
                <w:color w:val="auto"/>
                <w:sz w:val="24"/>
                <w:szCs w:val="24"/>
                <w:lang w:val="en-US" w:eastAsia="zh-CN"/>
              </w:rPr>
            </w:pPr>
            <w:r>
              <w:rPr>
                <w:rFonts w:hint="eastAsia"/>
                <w:color w:val="auto"/>
                <w:sz w:val="24"/>
                <w:szCs w:val="24"/>
              </w:rPr>
              <w:t>（</w:t>
            </w:r>
            <w:r>
              <w:rPr>
                <w:rFonts w:hint="eastAsia"/>
                <w:color w:val="auto"/>
                <w:sz w:val="24"/>
                <w:szCs w:val="24"/>
                <w:lang w:val="en-US" w:eastAsia="zh-CN"/>
              </w:rPr>
              <w:t>6</w:t>
            </w:r>
            <w:r>
              <w:rPr>
                <w:rFonts w:hint="eastAsia"/>
                <w:color w:val="auto"/>
                <w:sz w:val="24"/>
                <w:szCs w:val="24"/>
              </w:rPr>
              <w:t>分）</w:t>
            </w:r>
          </w:p>
        </w:tc>
        <w:tc>
          <w:tcPr>
            <w:tcW w:w="595" w:type="pct"/>
            <w:shd w:val="clear" w:color="auto" w:fill="auto"/>
            <w:vAlign w:val="center"/>
          </w:tcPr>
          <w:p w14:paraId="203F9B8E">
            <w:pPr>
              <w:jc w:val="center"/>
              <w:rPr>
                <w:rFonts w:hint="eastAsia"/>
                <w:color w:val="auto"/>
                <w:sz w:val="24"/>
                <w:szCs w:val="24"/>
                <w:lang w:val="en-US" w:eastAsia="zh-CN"/>
              </w:rPr>
            </w:pPr>
            <w:r>
              <w:rPr>
                <w:rFonts w:hint="eastAsia"/>
                <w:color w:val="auto"/>
                <w:sz w:val="24"/>
                <w:szCs w:val="24"/>
                <w:lang w:val="en-US" w:eastAsia="zh-CN"/>
              </w:rPr>
              <w:t>客观分</w:t>
            </w:r>
          </w:p>
        </w:tc>
        <w:tc>
          <w:tcPr>
            <w:tcW w:w="2971" w:type="pct"/>
            <w:shd w:val="clear" w:color="auto" w:fill="auto"/>
            <w:vAlign w:val="center"/>
          </w:tcPr>
          <w:p w14:paraId="1B259898">
            <w:pPr>
              <w:jc w:val="center"/>
              <w:rPr>
                <w:rFonts w:hint="default"/>
                <w:color w:val="auto"/>
                <w:sz w:val="24"/>
                <w:szCs w:val="24"/>
                <w:lang w:val="en-US" w:eastAsia="zh-CN"/>
              </w:rPr>
            </w:pPr>
            <w:r>
              <w:rPr>
                <w:rFonts w:hint="eastAsia"/>
                <w:color w:val="auto"/>
                <w:sz w:val="24"/>
                <w:szCs w:val="24"/>
              </w:rPr>
              <w:t>202</w:t>
            </w:r>
            <w:r>
              <w:rPr>
                <w:rFonts w:hint="eastAsia"/>
                <w:color w:val="auto"/>
                <w:sz w:val="24"/>
                <w:szCs w:val="24"/>
                <w:lang w:val="en-US" w:eastAsia="zh-CN"/>
              </w:rPr>
              <w:t>3</w:t>
            </w:r>
            <w:r>
              <w:rPr>
                <w:rFonts w:hint="eastAsia"/>
                <w:color w:val="auto"/>
                <w:sz w:val="24"/>
                <w:szCs w:val="24"/>
              </w:rPr>
              <w:t>年1月1日至提交投标文件截止日前，投标人承担的同类项目</w:t>
            </w:r>
            <w:r>
              <w:rPr>
                <w:rFonts w:hint="eastAsia"/>
                <w:color w:val="auto"/>
                <w:sz w:val="24"/>
                <w:szCs w:val="24"/>
                <w:lang w:eastAsia="zh-CN"/>
              </w:rPr>
              <w:t>（</w:t>
            </w:r>
            <w:r>
              <w:rPr>
                <w:rFonts w:hint="eastAsia"/>
                <w:color w:val="auto"/>
                <w:sz w:val="24"/>
                <w:szCs w:val="24"/>
                <w:lang w:val="en-US" w:eastAsia="zh-CN"/>
              </w:rPr>
              <w:t>企/事业单位内咖啡烘焙等</w:t>
            </w:r>
            <w:r>
              <w:rPr>
                <w:rFonts w:hint="eastAsia"/>
                <w:color w:val="auto"/>
                <w:sz w:val="24"/>
                <w:szCs w:val="24"/>
              </w:rPr>
              <w:t>服务运营</w:t>
            </w:r>
            <w:r>
              <w:rPr>
                <w:rFonts w:hint="eastAsia"/>
                <w:color w:val="auto"/>
                <w:sz w:val="24"/>
                <w:szCs w:val="24"/>
                <w:lang w:eastAsia="zh-CN"/>
              </w:rPr>
              <w:t>）</w:t>
            </w:r>
            <w:r>
              <w:rPr>
                <w:rFonts w:hint="eastAsia"/>
                <w:color w:val="auto"/>
                <w:sz w:val="24"/>
                <w:szCs w:val="24"/>
              </w:rPr>
              <w:t>。证明材料：合同复印件。</w:t>
            </w:r>
            <w:r>
              <w:rPr>
                <w:rFonts w:hint="eastAsia"/>
                <w:color w:val="auto"/>
                <w:sz w:val="24"/>
                <w:szCs w:val="24"/>
                <w:lang w:val="en-US" w:eastAsia="zh-CN"/>
              </w:rPr>
              <w:t>提供一个得3分，最高得6分。</w:t>
            </w:r>
          </w:p>
        </w:tc>
        <w:tc>
          <w:tcPr>
            <w:tcW w:w="388" w:type="pct"/>
            <w:shd w:val="clear" w:color="auto" w:fill="auto"/>
            <w:vAlign w:val="center"/>
          </w:tcPr>
          <w:p w14:paraId="4355750D">
            <w:pPr>
              <w:jc w:val="center"/>
              <w:rPr>
                <w:rFonts w:hint="default"/>
                <w:color w:val="auto"/>
                <w:sz w:val="24"/>
                <w:szCs w:val="24"/>
                <w:lang w:val="en-US" w:eastAsia="zh-CN"/>
              </w:rPr>
            </w:pPr>
            <w:r>
              <w:rPr>
                <w:rFonts w:hint="eastAsia"/>
                <w:color w:val="auto"/>
                <w:sz w:val="24"/>
                <w:szCs w:val="24"/>
                <w:lang w:val="en-US" w:eastAsia="zh-CN"/>
              </w:rPr>
              <w:t>6</w:t>
            </w:r>
          </w:p>
        </w:tc>
      </w:tr>
      <w:tr w14:paraId="79FD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65A684DD">
            <w:pPr>
              <w:jc w:val="center"/>
              <w:rPr>
                <w:rFonts w:hint="eastAsia"/>
                <w:color w:val="auto"/>
                <w:sz w:val="24"/>
                <w:szCs w:val="24"/>
                <w:lang w:eastAsia="zh-CN"/>
              </w:rPr>
            </w:pPr>
            <w:r>
              <w:rPr>
                <w:rFonts w:hint="eastAsia"/>
                <w:color w:val="auto"/>
                <w:sz w:val="24"/>
                <w:szCs w:val="24"/>
                <w:lang w:val="en-US" w:eastAsia="zh-CN"/>
              </w:rPr>
              <w:t>2</w:t>
            </w:r>
          </w:p>
        </w:tc>
        <w:tc>
          <w:tcPr>
            <w:tcW w:w="710" w:type="pct"/>
            <w:shd w:val="clear" w:color="auto" w:fill="auto"/>
            <w:vAlign w:val="center"/>
          </w:tcPr>
          <w:p w14:paraId="41709ED6">
            <w:pPr>
              <w:jc w:val="center"/>
              <w:rPr>
                <w:rFonts w:hint="eastAsia"/>
                <w:color w:val="auto"/>
                <w:sz w:val="24"/>
                <w:szCs w:val="24"/>
                <w:lang w:val="en-US" w:eastAsia="zh-CN"/>
              </w:rPr>
            </w:pPr>
            <w:r>
              <w:rPr>
                <w:rFonts w:hint="eastAsia"/>
                <w:color w:val="auto"/>
                <w:sz w:val="24"/>
                <w:szCs w:val="24"/>
                <w:lang w:val="en-US" w:eastAsia="zh-CN"/>
              </w:rPr>
              <w:t>服务方案</w:t>
            </w:r>
          </w:p>
          <w:p w14:paraId="18306253">
            <w:pPr>
              <w:jc w:val="center"/>
              <w:rPr>
                <w:rFonts w:hint="eastAsia"/>
                <w:color w:val="auto"/>
                <w:sz w:val="24"/>
                <w:szCs w:val="24"/>
              </w:rPr>
            </w:pPr>
            <w:r>
              <w:rPr>
                <w:rFonts w:hint="eastAsia"/>
                <w:color w:val="auto"/>
                <w:sz w:val="24"/>
                <w:szCs w:val="24"/>
              </w:rPr>
              <w:t>（</w:t>
            </w:r>
            <w:r>
              <w:rPr>
                <w:rFonts w:hint="eastAsia"/>
                <w:color w:val="auto"/>
                <w:sz w:val="24"/>
                <w:szCs w:val="24"/>
                <w:lang w:val="en-US" w:eastAsia="zh-CN"/>
              </w:rPr>
              <w:t>28</w:t>
            </w:r>
            <w:r>
              <w:rPr>
                <w:rFonts w:hint="eastAsia"/>
                <w:color w:val="auto"/>
                <w:sz w:val="24"/>
                <w:szCs w:val="24"/>
              </w:rPr>
              <w:t>分）</w:t>
            </w:r>
          </w:p>
        </w:tc>
        <w:tc>
          <w:tcPr>
            <w:tcW w:w="595" w:type="pct"/>
            <w:shd w:val="clear" w:color="auto" w:fill="auto"/>
            <w:vAlign w:val="center"/>
          </w:tcPr>
          <w:p w14:paraId="220E82C8">
            <w:pPr>
              <w:jc w:val="center"/>
              <w:rPr>
                <w:rFonts w:hint="eastAsia"/>
                <w:color w:val="auto"/>
                <w:sz w:val="24"/>
                <w:szCs w:val="24"/>
                <w:lang w:eastAsia="zh-CN"/>
              </w:rPr>
            </w:pPr>
            <w:r>
              <w:rPr>
                <w:rFonts w:hint="eastAsia"/>
                <w:color w:val="auto"/>
                <w:sz w:val="24"/>
                <w:szCs w:val="24"/>
                <w:lang w:val="en-US" w:eastAsia="zh-CN"/>
              </w:rPr>
              <w:t>主观分</w:t>
            </w:r>
          </w:p>
        </w:tc>
        <w:tc>
          <w:tcPr>
            <w:tcW w:w="2971" w:type="pct"/>
            <w:shd w:val="clear" w:color="auto" w:fill="auto"/>
            <w:vAlign w:val="center"/>
          </w:tcPr>
          <w:p w14:paraId="3DF3015D">
            <w:pPr>
              <w:jc w:val="center"/>
              <w:rPr>
                <w:rFonts w:hint="eastAsia"/>
                <w:color w:val="auto"/>
                <w:sz w:val="24"/>
                <w:szCs w:val="24"/>
                <w:lang w:val="en-US" w:eastAsia="zh-CN"/>
              </w:rPr>
            </w:pPr>
            <w:r>
              <w:rPr>
                <w:rFonts w:hint="eastAsia"/>
                <w:color w:val="auto"/>
                <w:sz w:val="24"/>
                <w:szCs w:val="24"/>
              </w:rPr>
              <w:t>根据投标人提供的整体运营方案完整性、贴合度、可行性综合打分：1. 项目整体规划（</w:t>
            </w:r>
            <w:r>
              <w:rPr>
                <w:rFonts w:hint="eastAsia"/>
                <w:color w:val="auto"/>
                <w:sz w:val="24"/>
                <w:szCs w:val="24"/>
                <w:lang w:val="en-US" w:eastAsia="zh-CN"/>
              </w:rPr>
              <w:t>0-</w:t>
            </w:r>
            <w:r>
              <w:rPr>
                <w:rFonts w:hint="eastAsia"/>
                <w:color w:val="auto"/>
                <w:sz w:val="24"/>
                <w:szCs w:val="24"/>
              </w:rPr>
              <w:t>7分）：场地布局、动线设计、功能分区、装修风格完全贴合医院素雅、安静、规范的整体要求，布局科学合理、合规安全。2. 日常运营管理（</w:t>
            </w:r>
            <w:r>
              <w:rPr>
                <w:rFonts w:hint="eastAsia"/>
                <w:color w:val="auto"/>
                <w:sz w:val="24"/>
                <w:szCs w:val="24"/>
                <w:lang w:val="en-US" w:eastAsia="zh-CN"/>
              </w:rPr>
              <w:t>0-</w:t>
            </w:r>
            <w:r>
              <w:rPr>
                <w:rFonts w:hint="eastAsia"/>
                <w:color w:val="auto"/>
                <w:sz w:val="24"/>
                <w:szCs w:val="24"/>
              </w:rPr>
              <w:t>7分）：包含常态化运营排班、卫生管理制度、原料进销存管理、明码标价管理、静音服务管理、节能管理等完整制度，流程清晰、落地性强。3. 品类与品质管控（</w:t>
            </w:r>
            <w:r>
              <w:rPr>
                <w:rFonts w:hint="eastAsia"/>
                <w:color w:val="auto"/>
                <w:sz w:val="24"/>
                <w:szCs w:val="24"/>
                <w:lang w:val="en-US" w:eastAsia="zh-CN"/>
              </w:rPr>
              <w:t>0-</w:t>
            </w:r>
            <w:r>
              <w:rPr>
                <w:rFonts w:hint="eastAsia"/>
                <w:color w:val="auto"/>
                <w:sz w:val="24"/>
                <w:szCs w:val="24"/>
              </w:rPr>
              <w:t>7分）：原材料</w:t>
            </w:r>
            <w:r>
              <w:rPr>
                <w:rFonts w:hint="eastAsia"/>
                <w:strike w:val="0"/>
                <w:dstrike w:val="0"/>
                <w:color w:val="auto"/>
                <w:sz w:val="24"/>
                <w:szCs w:val="24"/>
              </w:rPr>
              <w:t>采购溯源、质检管控、保质期管理、过期物料销毁、饮品</w:t>
            </w:r>
            <w:r>
              <w:rPr>
                <w:rFonts w:hint="eastAsia"/>
                <w:color w:val="auto"/>
                <w:sz w:val="24"/>
                <w:szCs w:val="24"/>
              </w:rPr>
              <w:t>品质把控体系完善。4. 服务与投诉整改（</w:t>
            </w:r>
            <w:r>
              <w:rPr>
                <w:rFonts w:hint="eastAsia"/>
                <w:color w:val="auto"/>
                <w:sz w:val="24"/>
                <w:szCs w:val="24"/>
                <w:lang w:val="en-US" w:eastAsia="zh-CN"/>
              </w:rPr>
              <w:t>0-</w:t>
            </w:r>
            <w:r>
              <w:rPr>
                <w:rFonts w:hint="eastAsia"/>
                <w:color w:val="auto"/>
                <w:sz w:val="24"/>
                <w:szCs w:val="24"/>
              </w:rPr>
              <w:t>7分）：建立专属职工服务标准、礼貌服务规范、投诉响应、问题整改、回访闭环机制，响应及时、流程完善</w:t>
            </w:r>
            <w:r>
              <w:rPr>
                <w:rFonts w:hint="eastAsia"/>
                <w:color w:val="auto"/>
                <w:sz w:val="24"/>
                <w:szCs w:val="24"/>
                <w:lang w:eastAsia="zh-CN"/>
              </w:rPr>
              <w:t>。</w:t>
            </w:r>
          </w:p>
        </w:tc>
        <w:tc>
          <w:tcPr>
            <w:tcW w:w="388" w:type="pct"/>
            <w:shd w:val="clear" w:color="auto" w:fill="auto"/>
            <w:vAlign w:val="center"/>
          </w:tcPr>
          <w:p w14:paraId="42A61EEF">
            <w:pPr>
              <w:jc w:val="center"/>
              <w:rPr>
                <w:rFonts w:hint="default"/>
                <w:color w:val="auto"/>
                <w:sz w:val="24"/>
                <w:szCs w:val="24"/>
                <w:lang w:val="en-US" w:eastAsia="zh-CN"/>
              </w:rPr>
            </w:pPr>
            <w:r>
              <w:rPr>
                <w:rFonts w:hint="eastAsia"/>
                <w:color w:val="auto"/>
                <w:sz w:val="24"/>
                <w:szCs w:val="24"/>
                <w:lang w:val="en-US" w:eastAsia="zh-CN"/>
              </w:rPr>
              <w:t>28</w:t>
            </w:r>
          </w:p>
        </w:tc>
      </w:tr>
      <w:tr w14:paraId="30A0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7D5DB717">
            <w:pPr>
              <w:jc w:val="center"/>
              <w:rPr>
                <w:rFonts w:hint="eastAsia"/>
                <w:color w:val="auto"/>
                <w:sz w:val="24"/>
                <w:szCs w:val="24"/>
                <w:lang w:val="en-US" w:eastAsia="zh-CN"/>
              </w:rPr>
            </w:pPr>
            <w:r>
              <w:rPr>
                <w:rFonts w:hint="eastAsia"/>
                <w:color w:val="auto"/>
                <w:sz w:val="24"/>
                <w:szCs w:val="24"/>
                <w:lang w:val="en-US" w:eastAsia="zh-CN"/>
              </w:rPr>
              <w:t>3</w:t>
            </w:r>
          </w:p>
        </w:tc>
        <w:tc>
          <w:tcPr>
            <w:tcW w:w="710" w:type="pct"/>
            <w:shd w:val="clear" w:color="auto" w:fill="auto"/>
            <w:vAlign w:val="center"/>
          </w:tcPr>
          <w:p w14:paraId="09F1870D">
            <w:pPr>
              <w:jc w:val="center"/>
              <w:rPr>
                <w:rFonts w:hint="eastAsia"/>
                <w:color w:val="auto"/>
                <w:sz w:val="24"/>
                <w:szCs w:val="24"/>
                <w:lang w:val="en-US" w:eastAsia="zh-CN"/>
              </w:rPr>
            </w:pPr>
            <w:r>
              <w:rPr>
                <w:rFonts w:hint="eastAsia"/>
                <w:color w:val="auto"/>
                <w:sz w:val="24"/>
                <w:szCs w:val="24"/>
                <w:lang w:val="en-US" w:eastAsia="zh-CN"/>
              </w:rPr>
              <w:t>人员配置</w:t>
            </w:r>
          </w:p>
          <w:p w14:paraId="47C09110">
            <w:pPr>
              <w:jc w:val="center"/>
              <w:rPr>
                <w:rFonts w:hint="eastAsia"/>
                <w:color w:val="auto"/>
                <w:sz w:val="24"/>
                <w:szCs w:val="24"/>
                <w:lang w:val="en-US" w:eastAsia="zh-CN"/>
              </w:rPr>
            </w:pPr>
            <w:r>
              <w:rPr>
                <w:rFonts w:hint="eastAsia"/>
                <w:color w:val="auto"/>
                <w:sz w:val="24"/>
                <w:szCs w:val="24"/>
              </w:rPr>
              <w:t>（</w:t>
            </w:r>
            <w:r>
              <w:rPr>
                <w:rFonts w:hint="eastAsia"/>
                <w:color w:val="auto"/>
                <w:sz w:val="24"/>
                <w:szCs w:val="24"/>
                <w:lang w:val="en-US" w:eastAsia="zh-CN"/>
              </w:rPr>
              <w:t>10</w:t>
            </w:r>
            <w:r>
              <w:rPr>
                <w:rFonts w:hint="eastAsia"/>
                <w:color w:val="auto"/>
                <w:sz w:val="24"/>
                <w:szCs w:val="24"/>
              </w:rPr>
              <w:t>分）</w:t>
            </w:r>
          </w:p>
        </w:tc>
        <w:tc>
          <w:tcPr>
            <w:tcW w:w="595" w:type="pct"/>
            <w:shd w:val="clear" w:color="auto" w:fill="auto"/>
            <w:vAlign w:val="center"/>
          </w:tcPr>
          <w:p w14:paraId="071C4B1E">
            <w:pPr>
              <w:jc w:val="center"/>
              <w:rPr>
                <w:rFonts w:hint="eastAsia"/>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6D5ECA65">
            <w:pPr>
              <w:jc w:val="center"/>
              <w:rPr>
                <w:rFonts w:hint="eastAsia"/>
                <w:color w:val="auto"/>
                <w:sz w:val="24"/>
                <w:szCs w:val="24"/>
              </w:rPr>
            </w:pPr>
            <w:r>
              <w:rPr>
                <w:rFonts w:hint="eastAsia"/>
                <w:color w:val="auto"/>
                <w:sz w:val="24"/>
                <w:szCs w:val="24"/>
              </w:rPr>
              <w:t>1. 岗位配置（</w:t>
            </w:r>
            <w:r>
              <w:rPr>
                <w:rFonts w:hint="eastAsia"/>
                <w:color w:val="auto"/>
                <w:sz w:val="24"/>
                <w:szCs w:val="24"/>
                <w:lang w:val="en-US" w:eastAsia="zh-CN"/>
              </w:rPr>
              <w:t>0-</w:t>
            </w:r>
            <w:r>
              <w:rPr>
                <w:rFonts w:hint="eastAsia"/>
                <w:color w:val="auto"/>
                <w:sz w:val="24"/>
                <w:szCs w:val="24"/>
              </w:rPr>
              <w:t>4分）：明确日常在岗人员配置、高峰期增配方案，排班合理、可保障不空岗、不脱岗。2. 人员资质（</w:t>
            </w:r>
            <w:r>
              <w:rPr>
                <w:rFonts w:hint="eastAsia"/>
                <w:color w:val="auto"/>
                <w:sz w:val="24"/>
                <w:szCs w:val="24"/>
                <w:lang w:val="en-US" w:eastAsia="zh-CN"/>
              </w:rPr>
              <w:t>0-</w:t>
            </w:r>
            <w:r>
              <w:rPr>
                <w:rFonts w:hint="eastAsia"/>
                <w:color w:val="auto"/>
                <w:sz w:val="24"/>
                <w:szCs w:val="24"/>
              </w:rPr>
              <w:t>4分）：承诺所有上岗人员持有效健康证上岗，具备食品操作及茶饮制作经验，建立人员台账及变动报备制度，制度完善。3. 人员管理（</w:t>
            </w:r>
            <w:r>
              <w:rPr>
                <w:rFonts w:hint="eastAsia"/>
                <w:color w:val="auto"/>
                <w:sz w:val="24"/>
                <w:szCs w:val="24"/>
                <w:lang w:val="en-US" w:eastAsia="zh-CN"/>
              </w:rPr>
              <w:t>0-2</w:t>
            </w:r>
            <w:r>
              <w:rPr>
                <w:rFonts w:hint="eastAsia"/>
                <w:color w:val="auto"/>
                <w:sz w:val="24"/>
                <w:szCs w:val="24"/>
              </w:rPr>
              <w:t>分）：包含统一着装、仪容仪表、服务纪律、岗前培训、用工安全管理等完整管理制度。</w:t>
            </w:r>
          </w:p>
        </w:tc>
        <w:tc>
          <w:tcPr>
            <w:tcW w:w="388" w:type="pct"/>
            <w:shd w:val="clear" w:color="auto" w:fill="auto"/>
            <w:vAlign w:val="center"/>
          </w:tcPr>
          <w:p w14:paraId="68877BAD">
            <w:pPr>
              <w:jc w:val="center"/>
              <w:rPr>
                <w:rFonts w:hint="default"/>
                <w:color w:val="auto"/>
                <w:sz w:val="24"/>
                <w:szCs w:val="24"/>
                <w:lang w:val="en-US" w:eastAsia="zh-CN"/>
              </w:rPr>
            </w:pPr>
            <w:r>
              <w:rPr>
                <w:rFonts w:hint="eastAsia"/>
                <w:color w:val="auto"/>
                <w:sz w:val="24"/>
                <w:szCs w:val="24"/>
                <w:lang w:val="en-US" w:eastAsia="zh-CN"/>
              </w:rPr>
              <w:t>10</w:t>
            </w:r>
          </w:p>
        </w:tc>
      </w:tr>
      <w:tr w14:paraId="336D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3162BD20">
            <w:pPr>
              <w:jc w:val="center"/>
              <w:rPr>
                <w:rFonts w:hint="default"/>
                <w:color w:val="auto"/>
                <w:sz w:val="24"/>
                <w:szCs w:val="24"/>
                <w:lang w:val="en-US" w:eastAsia="zh-CN"/>
              </w:rPr>
            </w:pPr>
            <w:r>
              <w:rPr>
                <w:rFonts w:hint="eastAsia"/>
                <w:color w:val="auto"/>
                <w:sz w:val="24"/>
                <w:szCs w:val="24"/>
                <w:lang w:val="en-US" w:eastAsia="zh-CN"/>
              </w:rPr>
              <w:t>4</w:t>
            </w:r>
          </w:p>
        </w:tc>
        <w:tc>
          <w:tcPr>
            <w:tcW w:w="710" w:type="pct"/>
            <w:shd w:val="clear" w:color="auto" w:fill="auto"/>
            <w:vAlign w:val="center"/>
          </w:tcPr>
          <w:p w14:paraId="527C1095">
            <w:pPr>
              <w:jc w:val="center"/>
              <w:rPr>
                <w:rFonts w:hint="eastAsia"/>
                <w:color w:val="auto"/>
                <w:sz w:val="24"/>
                <w:szCs w:val="24"/>
                <w:lang w:val="en-US" w:eastAsia="zh-CN"/>
              </w:rPr>
            </w:pPr>
            <w:r>
              <w:rPr>
                <w:rFonts w:hint="eastAsia"/>
                <w:color w:val="auto"/>
                <w:sz w:val="24"/>
                <w:szCs w:val="24"/>
                <w:lang w:val="en-US" w:eastAsia="zh-CN"/>
              </w:rPr>
              <w:t>场地与设备</w:t>
            </w:r>
          </w:p>
          <w:p w14:paraId="76269ED8">
            <w:pPr>
              <w:jc w:val="center"/>
              <w:rPr>
                <w:rFonts w:hint="default"/>
                <w:color w:val="auto"/>
                <w:sz w:val="24"/>
                <w:szCs w:val="24"/>
                <w:lang w:val="en-US" w:eastAsia="zh-CN"/>
              </w:rPr>
            </w:pPr>
            <w:r>
              <w:rPr>
                <w:rFonts w:hint="eastAsia"/>
                <w:color w:val="auto"/>
                <w:sz w:val="24"/>
                <w:szCs w:val="24"/>
                <w:lang w:val="en-US" w:eastAsia="zh-CN"/>
              </w:rPr>
              <w:t>（15分）</w:t>
            </w:r>
          </w:p>
        </w:tc>
        <w:tc>
          <w:tcPr>
            <w:tcW w:w="595" w:type="pct"/>
            <w:shd w:val="clear" w:color="auto" w:fill="auto"/>
            <w:vAlign w:val="center"/>
          </w:tcPr>
          <w:p w14:paraId="6DDB11D7">
            <w:pPr>
              <w:jc w:val="center"/>
              <w:rPr>
                <w:rFonts w:hint="eastAsia"/>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0477ADB3">
            <w:pPr>
              <w:jc w:val="center"/>
              <w:rPr>
                <w:rFonts w:hint="eastAsia"/>
                <w:color w:val="auto"/>
                <w:sz w:val="24"/>
                <w:szCs w:val="24"/>
                <w:lang w:val="en-US" w:eastAsia="zh-CN"/>
              </w:rPr>
            </w:pPr>
            <w:r>
              <w:rPr>
                <w:rFonts w:hint="eastAsia"/>
                <w:color w:val="auto"/>
                <w:sz w:val="24"/>
                <w:szCs w:val="24"/>
              </w:rPr>
              <w:t xml:space="preserve">根据投标人设备投入方案、设备品质打分：1. </w:t>
            </w:r>
            <w:r>
              <w:rPr>
                <w:rFonts w:hint="eastAsia"/>
                <w:color w:val="auto"/>
                <w:sz w:val="24"/>
                <w:szCs w:val="24"/>
                <w:lang w:val="en-US" w:eastAsia="zh-CN"/>
              </w:rPr>
              <w:t>基础</w:t>
            </w:r>
            <w:r>
              <w:rPr>
                <w:rFonts w:hint="eastAsia"/>
                <w:color w:val="auto"/>
                <w:sz w:val="24"/>
                <w:szCs w:val="24"/>
              </w:rPr>
              <w:t>设备（</w:t>
            </w:r>
            <w:r>
              <w:rPr>
                <w:rFonts w:hint="eastAsia"/>
                <w:color w:val="auto"/>
                <w:sz w:val="24"/>
                <w:szCs w:val="24"/>
                <w:lang w:val="en-US" w:eastAsia="zh-CN"/>
              </w:rPr>
              <w:t>0-5</w:t>
            </w:r>
            <w:r>
              <w:rPr>
                <w:rFonts w:hint="eastAsia"/>
                <w:color w:val="auto"/>
                <w:sz w:val="24"/>
                <w:szCs w:val="24"/>
              </w:rPr>
              <w:t>分）：完全响应招标文件全部</w:t>
            </w:r>
            <w:r>
              <w:rPr>
                <w:rFonts w:hint="eastAsia"/>
                <w:color w:val="auto"/>
                <w:sz w:val="24"/>
                <w:szCs w:val="24"/>
                <w:lang w:val="en-US" w:eastAsia="zh-CN"/>
              </w:rPr>
              <w:t>基础</w:t>
            </w:r>
            <w:r>
              <w:rPr>
                <w:rFonts w:hint="eastAsia"/>
                <w:color w:val="auto"/>
                <w:sz w:val="24"/>
                <w:szCs w:val="24"/>
              </w:rPr>
              <w:t>设备要求，品牌优质、规格达标</w:t>
            </w:r>
            <w:r>
              <w:rPr>
                <w:rFonts w:hint="eastAsia"/>
                <w:color w:val="auto"/>
                <w:sz w:val="24"/>
                <w:szCs w:val="24"/>
                <w:lang w:eastAsia="zh-CN"/>
              </w:rPr>
              <w:t>，</w:t>
            </w:r>
            <w:r>
              <w:rPr>
                <w:rFonts w:hint="eastAsia"/>
                <w:color w:val="auto"/>
                <w:sz w:val="24"/>
                <w:szCs w:val="24"/>
              </w:rPr>
              <w:t>得</w:t>
            </w:r>
            <w:r>
              <w:rPr>
                <w:rFonts w:hint="eastAsia"/>
                <w:color w:val="auto"/>
                <w:sz w:val="24"/>
                <w:szCs w:val="24"/>
                <w:lang w:val="en-US" w:eastAsia="zh-CN"/>
              </w:rPr>
              <w:t>5</w:t>
            </w:r>
            <w:r>
              <w:rPr>
                <w:rFonts w:hint="eastAsia"/>
                <w:color w:val="auto"/>
                <w:sz w:val="24"/>
                <w:szCs w:val="24"/>
              </w:rPr>
              <w:t>分；缺项</w:t>
            </w:r>
            <w:r>
              <w:rPr>
                <w:rFonts w:hint="eastAsia"/>
                <w:color w:val="auto"/>
                <w:sz w:val="24"/>
                <w:szCs w:val="24"/>
                <w:lang w:val="en-US" w:eastAsia="zh-CN"/>
              </w:rPr>
              <w:t>不得分</w:t>
            </w:r>
            <w:r>
              <w:rPr>
                <w:rFonts w:hint="eastAsia"/>
                <w:color w:val="auto"/>
                <w:sz w:val="24"/>
                <w:szCs w:val="24"/>
              </w:rPr>
              <w:t xml:space="preserve">。2. </w:t>
            </w:r>
            <w:r>
              <w:rPr>
                <w:rFonts w:hint="eastAsia"/>
                <w:color w:val="auto"/>
                <w:sz w:val="24"/>
                <w:szCs w:val="24"/>
                <w:lang w:val="en-US" w:eastAsia="zh-CN"/>
              </w:rPr>
              <w:t>其他</w:t>
            </w:r>
            <w:r>
              <w:rPr>
                <w:rFonts w:hint="eastAsia"/>
                <w:color w:val="auto"/>
                <w:sz w:val="24"/>
                <w:szCs w:val="24"/>
              </w:rPr>
              <w:t>设备（</w:t>
            </w:r>
            <w:r>
              <w:rPr>
                <w:rFonts w:hint="eastAsia"/>
                <w:color w:val="auto"/>
                <w:sz w:val="24"/>
                <w:szCs w:val="24"/>
                <w:lang w:val="en-US" w:eastAsia="zh-CN"/>
              </w:rPr>
              <w:t>0-6</w:t>
            </w:r>
            <w:r>
              <w:rPr>
                <w:rFonts w:hint="eastAsia"/>
                <w:color w:val="auto"/>
                <w:sz w:val="24"/>
                <w:szCs w:val="24"/>
              </w:rPr>
              <w:t>分）：</w:t>
            </w:r>
            <w:r>
              <w:rPr>
                <w:rFonts w:hint="eastAsia"/>
                <w:color w:val="auto"/>
                <w:sz w:val="24"/>
                <w:szCs w:val="24"/>
                <w:lang w:val="en-US" w:eastAsia="zh-CN"/>
              </w:rPr>
              <w:t>除基础运营设备外辅助设施齐全，保障</w:t>
            </w:r>
            <w:r>
              <w:rPr>
                <w:rFonts w:hint="eastAsia"/>
                <w:color w:val="auto"/>
                <w:sz w:val="24"/>
                <w:szCs w:val="24"/>
              </w:rPr>
              <w:t>清洁消杀、垃圾分类、用电安全、通风排风</w:t>
            </w:r>
            <w:r>
              <w:rPr>
                <w:rFonts w:hint="eastAsia"/>
                <w:color w:val="auto"/>
                <w:sz w:val="24"/>
                <w:szCs w:val="24"/>
                <w:lang w:val="en-US" w:eastAsia="zh-CN"/>
              </w:rPr>
              <w:t>等功能需求</w:t>
            </w:r>
            <w:r>
              <w:rPr>
                <w:rFonts w:hint="eastAsia"/>
                <w:color w:val="auto"/>
                <w:sz w:val="24"/>
                <w:szCs w:val="24"/>
              </w:rPr>
              <w:t xml:space="preserve">，符合食品卫生及消防要求。3. </w:t>
            </w:r>
            <w:r>
              <w:rPr>
                <w:rFonts w:hint="eastAsia"/>
                <w:color w:val="auto"/>
                <w:sz w:val="24"/>
                <w:szCs w:val="24"/>
                <w:lang w:val="en-US" w:eastAsia="zh-CN"/>
              </w:rPr>
              <w:t>便民</w:t>
            </w:r>
            <w:r>
              <w:rPr>
                <w:rFonts w:hint="eastAsia"/>
                <w:color w:val="auto"/>
                <w:sz w:val="24"/>
                <w:szCs w:val="24"/>
              </w:rPr>
              <w:t>配套投入（</w:t>
            </w:r>
            <w:r>
              <w:rPr>
                <w:rFonts w:hint="eastAsia"/>
                <w:color w:val="auto"/>
                <w:sz w:val="24"/>
                <w:szCs w:val="24"/>
                <w:lang w:val="en-US" w:eastAsia="zh-CN"/>
              </w:rPr>
              <w:t>0-4</w:t>
            </w:r>
            <w:r>
              <w:rPr>
                <w:rFonts w:hint="eastAsia"/>
                <w:color w:val="auto"/>
                <w:sz w:val="24"/>
                <w:szCs w:val="24"/>
              </w:rPr>
              <w:t>分）：配置便民设备，优化职工服务体验，方案合理实用。</w:t>
            </w:r>
          </w:p>
        </w:tc>
        <w:tc>
          <w:tcPr>
            <w:tcW w:w="388" w:type="pct"/>
            <w:shd w:val="clear" w:color="auto" w:fill="auto"/>
            <w:vAlign w:val="center"/>
          </w:tcPr>
          <w:p w14:paraId="001A9A26">
            <w:pPr>
              <w:jc w:val="center"/>
              <w:rPr>
                <w:rFonts w:hint="default"/>
                <w:color w:val="auto"/>
                <w:sz w:val="24"/>
                <w:szCs w:val="24"/>
                <w:lang w:val="en-US" w:eastAsia="zh-CN"/>
              </w:rPr>
            </w:pPr>
            <w:r>
              <w:rPr>
                <w:rFonts w:hint="eastAsia"/>
                <w:color w:val="auto"/>
                <w:sz w:val="24"/>
                <w:szCs w:val="24"/>
                <w:lang w:val="en-US" w:eastAsia="zh-CN"/>
              </w:rPr>
              <w:t>15</w:t>
            </w:r>
          </w:p>
        </w:tc>
      </w:tr>
      <w:tr w14:paraId="2FA8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01D7F0CF">
            <w:pPr>
              <w:jc w:val="center"/>
              <w:rPr>
                <w:rFonts w:hint="default"/>
                <w:color w:val="auto"/>
                <w:sz w:val="24"/>
                <w:szCs w:val="24"/>
                <w:lang w:val="en-US" w:eastAsia="zh-CN"/>
              </w:rPr>
            </w:pPr>
            <w:r>
              <w:rPr>
                <w:rFonts w:hint="eastAsia"/>
                <w:color w:val="auto"/>
                <w:sz w:val="24"/>
                <w:szCs w:val="24"/>
                <w:lang w:val="en-US" w:eastAsia="zh-CN"/>
              </w:rPr>
              <w:t>5</w:t>
            </w:r>
          </w:p>
        </w:tc>
        <w:tc>
          <w:tcPr>
            <w:tcW w:w="710" w:type="pct"/>
            <w:shd w:val="clear" w:color="auto" w:fill="auto"/>
            <w:vAlign w:val="center"/>
          </w:tcPr>
          <w:p w14:paraId="257CB935">
            <w:pPr>
              <w:jc w:val="center"/>
              <w:rPr>
                <w:rFonts w:hint="eastAsia"/>
                <w:color w:val="auto"/>
                <w:sz w:val="24"/>
                <w:szCs w:val="24"/>
                <w:lang w:val="en-US" w:eastAsia="zh-CN"/>
              </w:rPr>
            </w:pPr>
            <w:r>
              <w:rPr>
                <w:rFonts w:hint="eastAsia"/>
                <w:color w:val="auto"/>
                <w:sz w:val="24"/>
                <w:szCs w:val="24"/>
                <w:lang w:val="en-US" w:eastAsia="zh-CN"/>
              </w:rPr>
              <w:t>菜单配置</w:t>
            </w:r>
          </w:p>
          <w:p w14:paraId="384EFF78">
            <w:pPr>
              <w:jc w:val="center"/>
              <w:rPr>
                <w:rFonts w:hint="default"/>
                <w:color w:val="auto"/>
                <w:sz w:val="24"/>
                <w:szCs w:val="24"/>
                <w:lang w:val="en-US" w:eastAsia="zh-CN"/>
              </w:rPr>
            </w:pPr>
            <w:r>
              <w:rPr>
                <w:rFonts w:hint="eastAsia"/>
                <w:color w:val="auto"/>
                <w:sz w:val="24"/>
                <w:szCs w:val="24"/>
              </w:rPr>
              <w:t>（</w:t>
            </w:r>
            <w:r>
              <w:rPr>
                <w:rFonts w:hint="eastAsia"/>
                <w:color w:val="auto"/>
                <w:sz w:val="24"/>
                <w:szCs w:val="24"/>
                <w:lang w:val="en-US" w:eastAsia="zh-CN"/>
              </w:rPr>
              <w:t>6</w:t>
            </w:r>
            <w:r>
              <w:rPr>
                <w:rFonts w:hint="eastAsia"/>
                <w:color w:val="auto"/>
                <w:sz w:val="24"/>
                <w:szCs w:val="24"/>
              </w:rPr>
              <w:t>分）</w:t>
            </w:r>
          </w:p>
        </w:tc>
        <w:tc>
          <w:tcPr>
            <w:tcW w:w="595" w:type="pct"/>
            <w:shd w:val="clear" w:color="auto" w:fill="auto"/>
            <w:vAlign w:val="center"/>
          </w:tcPr>
          <w:p w14:paraId="51068C37">
            <w:pPr>
              <w:jc w:val="center"/>
              <w:rPr>
                <w:rFonts w:hint="default"/>
                <w:color w:val="auto"/>
                <w:sz w:val="24"/>
                <w:szCs w:val="24"/>
                <w:lang w:val="en-US" w:eastAsia="zh-CN"/>
              </w:rPr>
            </w:pPr>
            <w:r>
              <w:rPr>
                <w:rFonts w:hint="eastAsia"/>
                <w:color w:val="auto"/>
                <w:sz w:val="24"/>
                <w:szCs w:val="24"/>
                <w:lang w:val="en-US" w:eastAsia="zh-CN"/>
              </w:rPr>
              <w:t>客观分</w:t>
            </w:r>
          </w:p>
        </w:tc>
        <w:tc>
          <w:tcPr>
            <w:tcW w:w="2971" w:type="pct"/>
            <w:shd w:val="clear" w:color="auto" w:fill="auto"/>
            <w:vAlign w:val="center"/>
          </w:tcPr>
          <w:p w14:paraId="447DADB9">
            <w:pPr>
              <w:jc w:val="center"/>
              <w:rPr>
                <w:rFonts w:hint="default"/>
                <w:color w:val="auto"/>
                <w:sz w:val="24"/>
                <w:szCs w:val="24"/>
                <w:lang w:val="en-US" w:eastAsia="zh-CN"/>
              </w:rPr>
            </w:pPr>
            <w:r>
              <w:rPr>
                <w:rFonts w:hint="eastAsia"/>
                <w:color w:val="auto"/>
                <w:sz w:val="24"/>
                <w:szCs w:val="24"/>
                <w:lang w:val="en-US" w:eastAsia="zh-CN"/>
              </w:rPr>
              <w:t>投标人对采购</w:t>
            </w:r>
            <w:r>
              <w:rPr>
                <w:rFonts w:hint="eastAsia"/>
                <w:color w:val="auto"/>
                <w:sz w:val="24"/>
                <w:szCs w:val="24"/>
              </w:rPr>
              <w:t>人</w:t>
            </w:r>
            <w:r>
              <w:rPr>
                <w:rFonts w:hint="eastAsia"/>
                <w:color w:val="auto"/>
                <w:sz w:val="24"/>
                <w:szCs w:val="24"/>
                <w:lang w:val="en-US" w:eastAsia="zh-CN"/>
              </w:rPr>
              <w:t>提供的菜单进行响应，缺一项扣2分，扣完即止。</w:t>
            </w:r>
          </w:p>
        </w:tc>
        <w:tc>
          <w:tcPr>
            <w:tcW w:w="388" w:type="pct"/>
            <w:shd w:val="clear" w:color="auto" w:fill="auto"/>
            <w:vAlign w:val="center"/>
          </w:tcPr>
          <w:p w14:paraId="4D12250A">
            <w:pPr>
              <w:jc w:val="center"/>
              <w:rPr>
                <w:rFonts w:hint="default"/>
                <w:color w:val="auto"/>
                <w:sz w:val="24"/>
                <w:szCs w:val="24"/>
                <w:lang w:val="en-US" w:eastAsia="zh-CN"/>
              </w:rPr>
            </w:pPr>
            <w:r>
              <w:rPr>
                <w:rFonts w:hint="eastAsia"/>
                <w:color w:val="auto"/>
                <w:sz w:val="24"/>
                <w:szCs w:val="24"/>
                <w:lang w:val="en-US" w:eastAsia="zh-CN"/>
              </w:rPr>
              <w:t>6</w:t>
            </w:r>
          </w:p>
        </w:tc>
      </w:tr>
      <w:tr w14:paraId="6131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6225F534">
            <w:pPr>
              <w:jc w:val="center"/>
              <w:rPr>
                <w:rFonts w:hint="default"/>
                <w:color w:val="auto"/>
                <w:sz w:val="24"/>
                <w:szCs w:val="24"/>
                <w:lang w:val="en-US" w:eastAsia="zh-CN"/>
              </w:rPr>
            </w:pPr>
            <w:r>
              <w:rPr>
                <w:rFonts w:hint="eastAsia"/>
                <w:color w:val="auto"/>
                <w:sz w:val="24"/>
                <w:szCs w:val="24"/>
                <w:lang w:val="en-US" w:eastAsia="zh-CN"/>
              </w:rPr>
              <w:t>6</w:t>
            </w:r>
          </w:p>
        </w:tc>
        <w:tc>
          <w:tcPr>
            <w:tcW w:w="710" w:type="pct"/>
            <w:shd w:val="clear" w:color="auto" w:fill="auto"/>
            <w:vAlign w:val="center"/>
          </w:tcPr>
          <w:p w14:paraId="63A15565">
            <w:pPr>
              <w:jc w:val="center"/>
              <w:rPr>
                <w:rFonts w:hint="eastAsia"/>
                <w:color w:val="auto"/>
                <w:sz w:val="24"/>
                <w:szCs w:val="24"/>
                <w:lang w:val="en-US" w:eastAsia="zh-CN"/>
              </w:rPr>
            </w:pPr>
            <w:r>
              <w:rPr>
                <w:rFonts w:hint="eastAsia"/>
                <w:color w:val="auto"/>
                <w:sz w:val="24"/>
                <w:szCs w:val="24"/>
                <w:lang w:val="en-US" w:eastAsia="zh-CN"/>
              </w:rPr>
              <w:t>应急处置</w:t>
            </w:r>
          </w:p>
          <w:p w14:paraId="09075BDA">
            <w:pPr>
              <w:jc w:val="center"/>
              <w:rPr>
                <w:rFonts w:hint="eastAsia"/>
                <w:color w:val="auto"/>
                <w:sz w:val="24"/>
                <w:szCs w:val="24"/>
                <w:lang w:val="en-US" w:eastAsia="zh-CN"/>
              </w:rPr>
            </w:pPr>
            <w:r>
              <w:rPr>
                <w:rFonts w:hint="eastAsia"/>
                <w:color w:val="auto"/>
                <w:sz w:val="24"/>
                <w:szCs w:val="24"/>
              </w:rPr>
              <w:t>（</w:t>
            </w:r>
            <w:r>
              <w:rPr>
                <w:rFonts w:hint="eastAsia"/>
                <w:color w:val="auto"/>
                <w:sz w:val="24"/>
                <w:szCs w:val="24"/>
                <w:lang w:val="en-US" w:eastAsia="zh-CN"/>
              </w:rPr>
              <w:t>9</w:t>
            </w:r>
            <w:r>
              <w:rPr>
                <w:rFonts w:hint="eastAsia"/>
                <w:color w:val="auto"/>
                <w:sz w:val="24"/>
                <w:szCs w:val="24"/>
              </w:rPr>
              <w:t>分）</w:t>
            </w:r>
          </w:p>
        </w:tc>
        <w:tc>
          <w:tcPr>
            <w:tcW w:w="595" w:type="pct"/>
            <w:shd w:val="clear" w:color="auto" w:fill="auto"/>
            <w:vAlign w:val="center"/>
          </w:tcPr>
          <w:p w14:paraId="533EC2EF">
            <w:pPr>
              <w:jc w:val="center"/>
              <w:rPr>
                <w:rFonts w:hint="eastAsia"/>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3672F516">
            <w:pPr>
              <w:jc w:val="center"/>
              <w:rPr>
                <w:rFonts w:hint="eastAsia"/>
                <w:color w:val="auto"/>
                <w:sz w:val="24"/>
                <w:szCs w:val="24"/>
              </w:rPr>
            </w:pPr>
            <w:r>
              <w:rPr>
                <w:rFonts w:hint="eastAsia"/>
                <w:color w:val="auto"/>
                <w:sz w:val="24"/>
                <w:szCs w:val="24"/>
              </w:rPr>
              <w:t>1. 食品安全应急（</w:t>
            </w:r>
            <w:r>
              <w:rPr>
                <w:rFonts w:hint="eastAsia"/>
                <w:color w:val="auto"/>
                <w:sz w:val="24"/>
                <w:szCs w:val="24"/>
                <w:lang w:val="en-US" w:eastAsia="zh-CN"/>
              </w:rPr>
              <w:t>3</w:t>
            </w:r>
            <w:r>
              <w:rPr>
                <w:rFonts w:hint="eastAsia"/>
                <w:color w:val="auto"/>
                <w:sz w:val="24"/>
                <w:szCs w:val="24"/>
              </w:rPr>
              <w:t>分）：具备食材变质、饮品问题、职工饮食不适等突发情况的处置、整改、赔付预案。2. 消防与场地安全（</w:t>
            </w:r>
            <w:r>
              <w:rPr>
                <w:rFonts w:hint="eastAsia"/>
                <w:color w:val="auto"/>
                <w:sz w:val="24"/>
                <w:szCs w:val="24"/>
                <w:lang w:val="en-US" w:eastAsia="zh-CN"/>
              </w:rPr>
              <w:t>3</w:t>
            </w:r>
            <w:r>
              <w:rPr>
                <w:rFonts w:hint="eastAsia"/>
                <w:color w:val="auto"/>
                <w:sz w:val="24"/>
                <w:szCs w:val="24"/>
              </w:rPr>
              <w:t>分）：具备防火、用电安全、设备故障、场地整洁突发问题的应急处置方案。3. 突发停岗应急（</w:t>
            </w:r>
            <w:r>
              <w:rPr>
                <w:rFonts w:hint="eastAsia"/>
                <w:color w:val="auto"/>
                <w:sz w:val="24"/>
                <w:szCs w:val="24"/>
                <w:lang w:val="en-US" w:eastAsia="zh-CN"/>
              </w:rPr>
              <w:t>3</w:t>
            </w:r>
            <w:r>
              <w:rPr>
                <w:rFonts w:hint="eastAsia"/>
                <w:color w:val="auto"/>
                <w:sz w:val="24"/>
                <w:szCs w:val="24"/>
              </w:rPr>
              <w:t>分）：针对人员临时缺岗、设备故障、突发等情况制定应急替补及服务保障方案，确保服务不中断。</w:t>
            </w:r>
          </w:p>
        </w:tc>
        <w:tc>
          <w:tcPr>
            <w:tcW w:w="388" w:type="pct"/>
            <w:shd w:val="clear" w:color="auto" w:fill="auto"/>
            <w:vAlign w:val="center"/>
          </w:tcPr>
          <w:p w14:paraId="17A36AC0">
            <w:pPr>
              <w:jc w:val="center"/>
              <w:rPr>
                <w:rFonts w:hint="default"/>
                <w:color w:val="auto"/>
                <w:sz w:val="24"/>
                <w:szCs w:val="24"/>
                <w:lang w:val="en-US" w:eastAsia="zh-CN"/>
              </w:rPr>
            </w:pPr>
            <w:r>
              <w:rPr>
                <w:rFonts w:hint="eastAsia"/>
                <w:color w:val="auto"/>
                <w:sz w:val="24"/>
                <w:szCs w:val="24"/>
                <w:lang w:val="en-US" w:eastAsia="zh-CN"/>
              </w:rPr>
              <w:t>9</w:t>
            </w:r>
          </w:p>
        </w:tc>
      </w:tr>
      <w:tr w14:paraId="3699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10BC76DD">
            <w:pPr>
              <w:jc w:val="center"/>
              <w:rPr>
                <w:rFonts w:hint="default"/>
                <w:color w:val="auto"/>
                <w:sz w:val="24"/>
                <w:szCs w:val="24"/>
                <w:lang w:val="en-US" w:eastAsia="zh-CN"/>
              </w:rPr>
            </w:pPr>
            <w:r>
              <w:rPr>
                <w:rFonts w:hint="eastAsia"/>
                <w:color w:val="auto"/>
                <w:sz w:val="24"/>
                <w:szCs w:val="24"/>
                <w:lang w:val="en-US" w:eastAsia="zh-CN"/>
              </w:rPr>
              <w:t>7</w:t>
            </w:r>
          </w:p>
        </w:tc>
        <w:tc>
          <w:tcPr>
            <w:tcW w:w="710" w:type="pct"/>
            <w:shd w:val="clear" w:color="auto" w:fill="auto"/>
            <w:vAlign w:val="center"/>
          </w:tcPr>
          <w:p w14:paraId="6D0B62BA">
            <w:pPr>
              <w:jc w:val="center"/>
              <w:rPr>
                <w:rFonts w:hint="eastAsia"/>
                <w:color w:val="auto"/>
                <w:sz w:val="24"/>
                <w:szCs w:val="24"/>
                <w:lang w:val="en-US" w:eastAsia="zh-CN"/>
              </w:rPr>
            </w:pPr>
            <w:r>
              <w:rPr>
                <w:rFonts w:hint="eastAsia"/>
                <w:color w:val="auto"/>
                <w:sz w:val="24"/>
                <w:szCs w:val="24"/>
                <w:lang w:val="en-US" w:eastAsia="zh-CN"/>
              </w:rPr>
              <w:t>服务承诺</w:t>
            </w:r>
          </w:p>
          <w:p w14:paraId="6BEAB993">
            <w:pPr>
              <w:jc w:val="center"/>
              <w:rPr>
                <w:rFonts w:hint="eastAsia"/>
                <w:color w:val="auto"/>
                <w:sz w:val="24"/>
                <w:szCs w:val="24"/>
                <w:lang w:val="en-US" w:eastAsia="zh-CN"/>
              </w:rPr>
            </w:pPr>
            <w:r>
              <w:rPr>
                <w:rFonts w:hint="eastAsia"/>
                <w:color w:val="auto"/>
                <w:sz w:val="24"/>
                <w:szCs w:val="24"/>
              </w:rPr>
              <w:t>（</w:t>
            </w:r>
            <w:r>
              <w:rPr>
                <w:rFonts w:hint="eastAsia"/>
                <w:color w:val="auto"/>
                <w:sz w:val="24"/>
                <w:szCs w:val="24"/>
                <w:lang w:val="en-US" w:eastAsia="zh-CN"/>
              </w:rPr>
              <w:t>6</w:t>
            </w:r>
            <w:bookmarkStart w:id="1" w:name="_GoBack"/>
            <w:bookmarkEnd w:id="1"/>
            <w:r>
              <w:rPr>
                <w:rFonts w:hint="eastAsia"/>
                <w:color w:val="auto"/>
                <w:sz w:val="24"/>
                <w:szCs w:val="24"/>
              </w:rPr>
              <w:t>分）</w:t>
            </w:r>
          </w:p>
        </w:tc>
        <w:tc>
          <w:tcPr>
            <w:tcW w:w="595" w:type="pct"/>
            <w:shd w:val="clear" w:color="auto" w:fill="auto"/>
            <w:vAlign w:val="center"/>
          </w:tcPr>
          <w:p w14:paraId="32A97954">
            <w:pPr>
              <w:jc w:val="center"/>
              <w:rPr>
                <w:rFonts w:hint="eastAsia"/>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7AD54C2E">
            <w:pPr>
              <w:jc w:val="center"/>
              <w:rPr>
                <w:rFonts w:hint="eastAsia"/>
                <w:color w:val="auto"/>
                <w:sz w:val="24"/>
                <w:szCs w:val="24"/>
                <w:lang w:val="en-US" w:eastAsia="zh-CN"/>
              </w:rPr>
            </w:pPr>
            <w:r>
              <w:rPr>
                <w:rFonts w:hint="eastAsia"/>
                <w:color w:val="auto"/>
                <w:sz w:val="24"/>
                <w:szCs w:val="24"/>
              </w:rPr>
              <w:t>1. 投标人近3年无食品安全事故、无重大投诉、无失信惩戒记录</w:t>
            </w:r>
            <w:r>
              <w:rPr>
                <w:rFonts w:hint="eastAsia"/>
                <w:color w:val="auto"/>
                <w:sz w:val="24"/>
                <w:szCs w:val="24"/>
                <w:lang w:eastAsia="zh-CN"/>
              </w:rPr>
              <w:t>（</w:t>
            </w:r>
            <w:r>
              <w:rPr>
                <w:rFonts w:hint="eastAsia"/>
                <w:color w:val="auto"/>
                <w:sz w:val="24"/>
                <w:szCs w:val="24"/>
                <w:lang w:val="en-US" w:eastAsia="zh-CN"/>
              </w:rPr>
              <w:t>3分</w:t>
            </w:r>
            <w:r>
              <w:rPr>
                <w:rFonts w:hint="eastAsia"/>
                <w:color w:val="auto"/>
                <w:sz w:val="24"/>
                <w:szCs w:val="24"/>
                <w:lang w:eastAsia="zh-CN"/>
              </w:rPr>
              <w:t>）</w:t>
            </w:r>
            <w:r>
              <w:rPr>
                <w:rFonts w:hint="eastAsia"/>
                <w:color w:val="auto"/>
                <w:sz w:val="24"/>
                <w:szCs w:val="24"/>
              </w:rPr>
              <w:t>；否则不得分。2. 全面响应场地管理、合规经营、禁止外扩经营、禁止违规品类经营等院方要求，履约承诺清晰、责任明确</w:t>
            </w:r>
            <w:r>
              <w:rPr>
                <w:rFonts w:hint="eastAsia"/>
                <w:color w:val="auto"/>
                <w:sz w:val="24"/>
                <w:szCs w:val="24"/>
                <w:lang w:eastAsia="zh-CN"/>
              </w:rPr>
              <w:t>（</w:t>
            </w:r>
            <w:r>
              <w:rPr>
                <w:rFonts w:hint="eastAsia"/>
                <w:color w:val="auto"/>
                <w:sz w:val="24"/>
                <w:szCs w:val="24"/>
                <w:lang w:val="en-US" w:eastAsia="zh-CN"/>
              </w:rPr>
              <w:t>3分</w:t>
            </w:r>
            <w:r>
              <w:rPr>
                <w:rFonts w:hint="eastAsia"/>
                <w:color w:val="auto"/>
                <w:sz w:val="24"/>
                <w:szCs w:val="24"/>
                <w:lang w:eastAsia="zh-CN"/>
              </w:rPr>
              <w:t>）</w:t>
            </w:r>
            <w:r>
              <w:rPr>
                <w:rFonts w:hint="eastAsia"/>
                <w:color w:val="auto"/>
                <w:sz w:val="24"/>
                <w:szCs w:val="24"/>
              </w:rPr>
              <w:t>；承诺不全不得分。</w:t>
            </w:r>
          </w:p>
        </w:tc>
        <w:tc>
          <w:tcPr>
            <w:tcW w:w="388" w:type="pct"/>
            <w:shd w:val="clear" w:color="auto" w:fill="auto"/>
            <w:vAlign w:val="center"/>
          </w:tcPr>
          <w:p w14:paraId="3D3B5086">
            <w:pPr>
              <w:jc w:val="center"/>
              <w:rPr>
                <w:rFonts w:hint="eastAsia"/>
                <w:color w:val="auto"/>
                <w:sz w:val="24"/>
                <w:szCs w:val="24"/>
                <w:lang w:val="en-US" w:eastAsia="zh-CN"/>
              </w:rPr>
            </w:pPr>
            <w:r>
              <w:rPr>
                <w:rFonts w:hint="eastAsia"/>
                <w:color w:val="auto"/>
                <w:sz w:val="24"/>
                <w:szCs w:val="24"/>
                <w:lang w:val="en-US" w:eastAsia="zh-CN"/>
              </w:rPr>
              <w:t>6</w:t>
            </w:r>
          </w:p>
        </w:tc>
      </w:tr>
      <w:tr w14:paraId="6BAB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5" w:type="pct"/>
            <w:shd w:val="clear" w:color="auto" w:fill="auto"/>
            <w:vAlign w:val="center"/>
          </w:tcPr>
          <w:p w14:paraId="4303CB72">
            <w:pPr>
              <w:jc w:val="center"/>
              <w:rPr>
                <w:rFonts w:hint="default"/>
                <w:color w:val="auto"/>
                <w:sz w:val="24"/>
                <w:szCs w:val="24"/>
                <w:lang w:val="en-US" w:eastAsia="zh-CN"/>
              </w:rPr>
            </w:pPr>
            <w:r>
              <w:rPr>
                <w:rFonts w:hint="eastAsia"/>
                <w:color w:val="auto"/>
                <w:sz w:val="24"/>
                <w:szCs w:val="24"/>
                <w:lang w:val="en-US" w:eastAsia="zh-CN"/>
              </w:rPr>
              <w:t>8</w:t>
            </w:r>
          </w:p>
        </w:tc>
        <w:tc>
          <w:tcPr>
            <w:tcW w:w="710" w:type="pct"/>
            <w:shd w:val="clear" w:color="auto" w:fill="auto"/>
            <w:vAlign w:val="center"/>
          </w:tcPr>
          <w:p w14:paraId="2E578DD5">
            <w:pPr>
              <w:jc w:val="center"/>
              <w:rPr>
                <w:rFonts w:hint="eastAsia" w:eastAsia="宋体"/>
                <w:color w:val="auto"/>
                <w:sz w:val="24"/>
                <w:szCs w:val="24"/>
                <w:lang w:eastAsia="zh-CN"/>
              </w:rPr>
            </w:pPr>
            <w:r>
              <w:rPr>
                <w:rFonts w:hint="eastAsia"/>
                <w:color w:val="auto"/>
                <w:sz w:val="24"/>
                <w:szCs w:val="24"/>
              </w:rPr>
              <w:t>对医院给出的优惠承诺</w:t>
            </w:r>
            <w:r>
              <w:rPr>
                <w:rFonts w:hint="eastAsia"/>
                <w:color w:val="auto"/>
                <w:sz w:val="24"/>
                <w:szCs w:val="24"/>
                <w:lang w:eastAsia="zh-CN"/>
              </w:rPr>
              <w:t>（</w:t>
            </w:r>
            <w:r>
              <w:rPr>
                <w:rFonts w:hint="eastAsia"/>
                <w:color w:val="auto"/>
                <w:sz w:val="24"/>
                <w:szCs w:val="24"/>
                <w:lang w:val="en-US" w:eastAsia="zh-CN"/>
              </w:rPr>
              <w:t>10分</w:t>
            </w:r>
            <w:r>
              <w:rPr>
                <w:rFonts w:hint="eastAsia"/>
                <w:color w:val="auto"/>
                <w:sz w:val="24"/>
                <w:szCs w:val="24"/>
                <w:lang w:eastAsia="zh-CN"/>
              </w:rPr>
              <w:t>）</w:t>
            </w:r>
          </w:p>
        </w:tc>
        <w:tc>
          <w:tcPr>
            <w:tcW w:w="595" w:type="pct"/>
            <w:shd w:val="clear" w:color="auto" w:fill="auto"/>
            <w:vAlign w:val="center"/>
          </w:tcPr>
          <w:p w14:paraId="129253B7">
            <w:pPr>
              <w:jc w:val="center"/>
              <w:rPr>
                <w:rFonts w:hint="default"/>
                <w:color w:val="auto"/>
                <w:sz w:val="24"/>
                <w:szCs w:val="24"/>
                <w:lang w:val="en-US" w:eastAsia="zh-CN"/>
              </w:rPr>
            </w:pPr>
            <w:r>
              <w:rPr>
                <w:rFonts w:hint="eastAsia"/>
                <w:color w:val="auto"/>
                <w:sz w:val="24"/>
                <w:szCs w:val="24"/>
                <w:lang w:val="en-US" w:eastAsia="zh-CN"/>
              </w:rPr>
              <w:t>主观分</w:t>
            </w:r>
          </w:p>
        </w:tc>
        <w:tc>
          <w:tcPr>
            <w:tcW w:w="2971" w:type="pct"/>
            <w:shd w:val="clear" w:color="auto" w:fill="auto"/>
            <w:vAlign w:val="center"/>
          </w:tcPr>
          <w:p w14:paraId="3E6541E7">
            <w:pPr>
              <w:jc w:val="center"/>
              <w:rPr>
                <w:rFonts w:hint="default" w:eastAsia="宋体"/>
                <w:color w:val="auto"/>
                <w:sz w:val="24"/>
                <w:szCs w:val="24"/>
                <w:lang w:val="en-US" w:eastAsia="zh-CN"/>
              </w:rPr>
            </w:pPr>
            <w:r>
              <w:rPr>
                <w:rFonts w:hint="default" w:eastAsia="宋体"/>
                <w:color w:val="auto"/>
                <w:sz w:val="24"/>
                <w:szCs w:val="24"/>
                <w:lang w:val="en-US" w:eastAsia="zh-CN"/>
              </w:rPr>
              <w:t>结合</w:t>
            </w:r>
            <w:r>
              <w:rPr>
                <w:rFonts w:hint="eastAsia"/>
                <w:color w:val="auto"/>
                <w:sz w:val="24"/>
                <w:szCs w:val="24"/>
                <w:lang w:val="en-US" w:eastAsia="zh-CN"/>
              </w:rPr>
              <w:t>本项目</w:t>
            </w:r>
            <w:r>
              <w:rPr>
                <w:rFonts w:hint="default" w:eastAsia="宋体"/>
                <w:color w:val="auto"/>
                <w:sz w:val="24"/>
                <w:szCs w:val="24"/>
                <w:lang w:val="en-US" w:eastAsia="zh-CN"/>
              </w:rPr>
              <w:t>经营服务特性，对参选人提供的有利于院方的优惠承诺内容的</w:t>
            </w:r>
            <w:r>
              <w:rPr>
                <w:rFonts w:hint="eastAsia"/>
                <w:color w:val="auto"/>
                <w:sz w:val="24"/>
                <w:szCs w:val="24"/>
                <w:lang w:val="en-US" w:eastAsia="zh-CN"/>
              </w:rPr>
              <w:t>合理</w:t>
            </w:r>
            <w:r>
              <w:rPr>
                <w:rFonts w:hint="default" w:eastAsia="宋体"/>
                <w:color w:val="auto"/>
                <w:sz w:val="24"/>
                <w:szCs w:val="24"/>
                <w:lang w:val="en-US" w:eastAsia="zh-CN"/>
              </w:rPr>
              <w:t>性、可行性进行综合情况打分。</w:t>
            </w:r>
          </w:p>
        </w:tc>
        <w:tc>
          <w:tcPr>
            <w:tcW w:w="388" w:type="pct"/>
            <w:shd w:val="clear" w:color="auto" w:fill="auto"/>
            <w:vAlign w:val="center"/>
          </w:tcPr>
          <w:p w14:paraId="42333A4E">
            <w:pPr>
              <w:jc w:val="center"/>
              <w:rPr>
                <w:rFonts w:hint="default"/>
                <w:color w:val="auto"/>
                <w:sz w:val="24"/>
                <w:szCs w:val="24"/>
                <w:lang w:val="en-US" w:eastAsia="zh-CN"/>
              </w:rPr>
            </w:pPr>
            <w:r>
              <w:rPr>
                <w:rFonts w:hint="eastAsia"/>
                <w:color w:val="auto"/>
                <w:sz w:val="24"/>
                <w:szCs w:val="24"/>
                <w:lang w:val="en-US" w:eastAsia="zh-CN"/>
              </w:rPr>
              <w:t>10</w:t>
            </w:r>
          </w:p>
        </w:tc>
      </w:tr>
    </w:tbl>
    <w:p w14:paraId="6D1F9283">
      <w:pPr>
        <w:spacing w:line="251" w:lineRule="auto"/>
        <w:rPr>
          <w:rFonts w:ascii="Arial"/>
          <w:color w:val="auto"/>
          <w:sz w:val="21"/>
          <w:highlight w:val="none"/>
        </w:rPr>
      </w:pPr>
    </w:p>
    <w:p w14:paraId="2DF98E24">
      <w:pPr>
        <w:pageBreakBefore w:val="0"/>
        <w:numPr>
          <w:ilvl w:val="0"/>
          <w:numId w:val="5"/>
        </w:numPr>
        <w:kinsoku/>
        <w:wordWrap/>
        <w:overflowPunct/>
        <w:topLinePunct w:val="0"/>
        <w:autoSpaceDE/>
        <w:autoSpaceDN/>
        <w:bidi w:val="0"/>
        <w:adjustRightInd/>
        <w:snapToGrid/>
        <w:spacing w:before="56" w:line="240" w:lineRule="auto"/>
        <w:ind w:left="144"/>
        <w:textAlignment w:val="auto"/>
        <w:outlineLvl w:val="6"/>
        <w:rPr>
          <w:rFonts w:hint="eastAsia" w:ascii="宋体" w:hAnsi="宋体"/>
          <w:b/>
          <w:color w:val="auto"/>
          <w:sz w:val="24"/>
          <w:highlight w:val="none"/>
        </w:rPr>
      </w:pPr>
      <w:r>
        <w:rPr>
          <w:rFonts w:hint="eastAsia" w:ascii="宋体" w:hAnsi="宋体"/>
          <w:b/>
          <w:color w:val="auto"/>
          <w:sz w:val="24"/>
          <w:highlight w:val="none"/>
        </w:rPr>
        <w:t xml:space="preserve">商务评审 (总分 </w:t>
      </w:r>
      <w:r>
        <w:rPr>
          <w:rFonts w:hint="eastAsia" w:ascii="宋体" w:hAnsi="宋体"/>
          <w:b/>
          <w:color w:val="auto"/>
          <w:sz w:val="24"/>
          <w:highlight w:val="none"/>
          <w:lang w:val="en-US" w:eastAsia="zh-CN"/>
        </w:rPr>
        <w:t>10</w:t>
      </w:r>
      <w:r>
        <w:rPr>
          <w:rFonts w:hint="eastAsia" w:ascii="宋体" w:hAnsi="宋体"/>
          <w:b/>
          <w:color w:val="auto"/>
          <w:sz w:val="24"/>
          <w:highlight w:val="none"/>
        </w:rPr>
        <w:t>分)</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2602"/>
        <w:gridCol w:w="1083"/>
        <w:gridCol w:w="3475"/>
        <w:gridCol w:w="2016"/>
      </w:tblGrid>
      <w:tr w14:paraId="32B3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902" w:type="dxa"/>
            <w:vAlign w:val="center"/>
          </w:tcPr>
          <w:p w14:paraId="3CC9BA19">
            <w:pPr>
              <w:jc w:val="center"/>
              <w:rPr>
                <w:color w:val="auto"/>
                <w:sz w:val="24"/>
                <w:highlight w:val="none"/>
                <w:vertAlign w:val="baseline"/>
              </w:rPr>
            </w:pPr>
            <w:r>
              <w:rPr>
                <w:rFonts w:hint="eastAsia"/>
                <w:color w:val="auto"/>
                <w:sz w:val="24"/>
                <w:szCs w:val="24"/>
              </w:rPr>
              <w:t>序号</w:t>
            </w:r>
          </w:p>
        </w:tc>
        <w:tc>
          <w:tcPr>
            <w:tcW w:w="2602" w:type="dxa"/>
            <w:vAlign w:val="center"/>
          </w:tcPr>
          <w:p w14:paraId="34E5B669">
            <w:pPr>
              <w:jc w:val="center"/>
              <w:rPr>
                <w:color w:val="auto"/>
                <w:sz w:val="24"/>
                <w:highlight w:val="none"/>
                <w:vertAlign w:val="baseline"/>
              </w:rPr>
            </w:pPr>
            <w:r>
              <w:rPr>
                <w:rFonts w:hint="eastAsia"/>
                <w:color w:val="auto"/>
                <w:sz w:val="24"/>
                <w:szCs w:val="24"/>
              </w:rPr>
              <w:t>评分项</w:t>
            </w:r>
          </w:p>
        </w:tc>
        <w:tc>
          <w:tcPr>
            <w:tcW w:w="1083" w:type="dxa"/>
            <w:vAlign w:val="center"/>
          </w:tcPr>
          <w:p w14:paraId="0EC59198">
            <w:pPr>
              <w:jc w:val="center"/>
              <w:rPr>
                <w:color w:val="auto"/>
                <w:sz w:val="24"/>
                <w:highlight w:val="none"/>
                <w:vertAlign w:val="baseline"/>
              </w:rPr>
            </w:pPr>
            <w:r>
              <w:rPr>
                <w:rFonts w:hint="eastAsia"/>
                <w:color w:val="auto"/>
                <w:sz w:val="24"/>
                <w:szCs w:val="24"/>
                <w:lang w:val="en-US" w:eastAsia="zh-CN"/>
              </w:rPr>
              <w:t>类型</w:t>
            </w:r>
          </w:p>
        </w:tc>
        <w:tc>
          <w:tcPr>
            <w:tcW w:w="3475" w:type="dxa"/>
            <w:vAlign w:val="center"/>
          </w:tcPr>
          <w:p w14:paraId="037411D3">
            <w:pPr>
              <w:jc w:val="center"/>
              <w:rPr>
                <w:color w:val="auto"/>
                <w:sz w:val="24"/>
                <w:highlight w:val="none"/>
                <w:vertAlign w:val="baseline"/>
              </w:rPr>
            </w:pPr>
            <w:r>
              <w:rPr>
                <w:rFonts w:hint="eastAsia"/>
                <w:color w:val="auto"/>
                <w:sz w:val="24"/>
                <w:szCs w:val="24"/>
              </w:rPr>
              <w:t>评审因素</w:t>
            </w:r>
          </w:p>
        </w:tc>
        <w:tc>
          <w:tcPr>
            <w:tcW w:w="2016" w:type="dxa"/>
            <w:vAlign w:val="center"/>
          </w:tcPr>
          <w:p w14:paraId="4BB9F432">
            <w:pPr>
              <w:jc w:val="center"/>
              <w:rPr>
                <w:color w:val="auto"/>
                <w:sz w:val="24"/>
                <w:highlight w:val="none"/>
                <w:vertAlign w:val="baseline"/>
              </w:rPr>
            </w:pPr>
            <w:r>
              <w:rPr>
                <w:rFonts w:hint="eastAsia"/>
                <w:color w:val="auto"/>
                <w:sz w:val="24"/>
                <w:szCs w:val="24"/>
              </w:rPr>
              <w:t>分值</w:t>
            </w:r>
          </w:p>
        </w:tc>
      </w:tr>
      <w:tr w14:paraId="2DBB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6424263B">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1</w:t>
            </w:r>
          </w:p>
        </w:tc>
        <w:tc>
          <w:tcPr>
            <w:tcW w:w="2602" w:type="dxa"/>
            <w:vAlign w:val="center"/>
          </w:tcPr>
          <w:p w14:paraId="3DEDD84C">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基础咖啡价格（5分）</w:t>
            </w:r>
          </w:p>
        </w:tc>
        <w:tc>
          <w:tcPr>
            <w:tcW w:w="1083" w:type="dxa"/>
            <w:vAlign w:val="center"/>
          </w:tcPr>
          <w:p w14:paraId="701622B8">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37ADBB6E">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eastAsia="宋体"/>
                <w:color w:val="auto"/>
                <w:sz w:val="24"/>
                <w:highlight w:val="none"/>
                <w:vertAlign w:val="baseline"/>
                <w:lang w:eastAsia="zh-CN"/>
              </w:rPr>
            </w:pPr>
            <w:r>
              <w:rPr>
                <w:rFonts w:hint="eastAsia"/>
                <w:color w:val="auto"/>
                <w:sz w:val="24"/>
                <w:highlight w:val="none"/>
                <w:lang w:val="en-US" w:eastAsia="zh-CN"/>
              </w:rPr>
              <w:t>基础咖啡类以‘基础菜单及价目表’中的价格为限价进行报价。</w:t>
            </w:r>
            <w:r>
              <w:rPr>
                <w:rFonts w:hint="eastAsia"/>
                <w:color w:val="auto"/>
                <w:sz w:val="24"/>
                <w:highlight w:val="none"/>
              </w:rPr>
              <w:t>满足招标文件要求且投标价格最低的投标报价为评标基准价，其价格分为满分。其他投标人的价格分统一按照下列公式计算：投标报价得分=(评标基准价／投标报价)×10%×100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01335F0B">
            <w:pPr>
              <w:pageBreakBefore w:val="0"/>
              <w:kinsoku/>
              <w:wordWrap/>
              <w:overflowPunct/>
              <w:topLinePunct w:val="0"/>
              <w:autoSpaceDE/>
              <w:autoSpaceDN/>
              <w:bidi w:val="0"/>
              <w:adjustRightInd/>
              <w:snapToGrid/>
              <w:spacing w:line="240" w:lineRule="auto"/>
              <w:jc w:val="center"/>
              <w:textAlignment w:val="auto"/>
              <w:rPr>
                <w:color w:val="auto"/>
                <w:sz w:val="24"/>
                <w:highlight w:val="none"/>
                <w:vertAlign w:val="baseline"/>
              </w:rPr>
            </w:pPr>
          </w:p>
        </w:tc>
      </w:tr>
      <w:tr w14:paraId="6DD6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2097ACBE">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2</w:t>
            </w:r>
          </w:p>
        </w:tc>
        <w:tc>
          <w:tcPr>
            <w:tcW w:w="2602" w:type="dxa"/>
            <w:vAlign w:val="center"/>
          </w:tcPr>
          <w:p w14:paraId="0CD891AE">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其他产品折扣（5分）</w:t>
            </w:r>
          </w:p>
        </w:tc>
        <w:tc>
          <w:tcPr>
            <w:tcW w:w="1083" w:type="dxa"/>
            <w:vAlign w:val="center"/>
          </w:tcPr>
          <w:p w14:paraId="461D5254">
            <w:pPr>
              <w:pageBreakBefore w:val="0"/>
              <w:kinsoku/>
              <w:wordWrap/>
              <w:overflowPunct/>
              <w:topLinePunct w:val="0"/>
              <w:autoSpaceDE/>
              <w:autoSpaceDN/>
              <w:bidi w:val="0"/>
              <w:adjustRightInd/>
              <w:snapToGrid/>
              <w:spacing w:line="240" w:lineRule="auto"/>
              <w:jc w:val="center"/>
              <w:textAlignment w:val="auto"/>
              <w:rPr>
                <w:color w:val="auto"/>
                <w:sz w:val="24"/>
                <w:highlight w:val="none"/>
                <w:vertAlign w:val="baseline"/>
              </w:rPr>
            </w:pPr>
            <w:r>
              <w:rPr>
                <w:rFonts w:hint="eastAsia"/>
                <w:color w:val="auto"/>
                <w:sz w:val="24"/>
                <w:highlight w:val="none"/>
                <w:vertAlign w:val="baseline"/>
                <w:lang w:val="en-US" w:eastAsia="zh-CN"/>
              </w:rPr>
              <w:t>价格</w:t>
            </w:r>
          </w:p>
        </w:tc>
        <w:tc>
          <w:tcPr>
            <w:tcW w:w="3475" w:type="dxa"/>
            <w:vAlign w:val="center"/>
          </w:tcPr>
          <w:p w14:paraId="1E2F6F5A">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eastAsia="宋体"/>
                <w:color w:val="auto"/>
                <w:sz w:val="24"/>
                <w:highlight w:val="none"/>
                <w:vertAlign w:val="baseline"/>
                <w:lang w:eastAsia="zh-CN"/>
              </w:rPr>
            </w:pPr>
            <w:r>
              <w:rPr>
                <w:rFonts w:hint="eastAsia"/>
                <w:color w:val="auto"/>
                <w:sz w:val="24"/>
                <w:highlight w:val="none"/>
                <w:lang w:val="en-US" w:eastAsia="zh-CN"/>
              </w:rPr>
              <w:t>其余产品以‘基础菜单及价目表’中的价格为基础，报折扣价，报价范围为0-100%。</w:t>
            </w:r>
            <w:r>
              <w:rPr>
                <w:rFonts w:hint="eastAsia"/>
                <w:color w:val="auto"/>
                <w:sz w:val="24"/>
                <w:highlight w:val="none"/>
              </w:rPr>
              <w:t>满足招标文件要求且投标价格最低的投标报价为评标基准价，其价格分为满分。其他投标人的价格分统一按照下列公式计算：投标报价得分=(评标基准价／投标报价)×10%×100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1EBFE5A2">
            <w:pPr>
              <w:pageBreakBefore w:val="0"/>
              <w:kinsoku/>
              <w:wordWrap/>
              <w:overflowPunct/>
              <w:topLinePunct w:val="0"/>
              <w:autoSpaceDE/>
              <w:autoSpaceDN/>
              <w:bidi w:val="0"/>
              <w:adjustRightInd/>
              <w:snapToGrid/>
              <w:spacing w:line="240" w:lineRule="auto"/>
              <w:jc w:val="center"/>
              <w:textAlignment w:val="auto"/>
              <w:rPr>
                <w:color w:val="auto"/>
                <w:sz w:val="24"/>
                <w:highlight w:val="none"/>
                <w:vertAlign w:val="baseline"/>
              </w:rPr>
            </w:pPr>
          </w:p>
        </w:tc>
      </w:tr>
    </w:tbl>
    <w:p w14:paraId="4683502E">
      <w:pPr>
        <w:pageBreakBefore w:val="0"/>
        <w:kinsoku/>
        <w:wordWrap/>
        <w:overflowPunct/>
        <w:topLinePunct w:val="0"/>
        <w:autoSpaceDE/>
        <w:autoSpaceDN/>
        <w:bidi w:val="0"/>
        <w:adjustRightInd/>
        <w:snapToGrid/>
        <w:spacing w:line="240" w:lineRule="auto"/>
        <w:ind w:firstLine="480" w:firstLineChars="200"/>
        <w:textAlignment w:val="auto"/>
        <w:rPr>
          <w:rFonts w:hint="default"/>
          <w:color w:val="auto"/>
          <w:sz w:val="24"/>
          <w:highlight w:val="none"/>
          <w:lang w:val="en-US"/>
        </w:rPr>
      </w:pPr>
      <w:r>
        <w:rPr>
          <w:color w:val="auto"/>
          <w:sz w:val="24"/>
          <w:highlight w:val="none"/>
        </w:rPr>
        <w:t xml:space="preserve">商务得分= </w:t>
      </w:r>
      <w:r>
        <w:rPr>
          <w:rFonts w:hint="eastAsia"/>
          <w:color w:val="auto"/>
          <w:sz w:val="24"/>
          <w:highlight w:val="none"/>
          <w:vertAlign w:val="baseline"/>
          <w:lang w:val="en-US" w:eastAsia="zh-CN"/>
        </w:rPr>
        <w:t>基础咖啡价格得分+其他产品折扣得分。</w:t>
      </w:r>
    </w:p>
    <w:p w14:paraId="20E7D237">
      <w:pPr>
        <w:pageBreakBefore w:val="0"/>
        <w:kinsoku/>
        <w:wordWrap/>
        <w:overflowPunct/>
        <w:topLinePunct w:val="0"/>
        <w:autoSpaceDE/>
        <w:autoSpaceDN/>
        <w:bidi w:val="0"/>
        <w:adjustRightInd/>
        <w:snapToGrid/>
        <w:spacing w:before="56" w:line="240" w:lineRule="auto"/>
        <w:ind w:left="144"/>
        <w:textAlignment w:val="auto"/>
        <w:outlineLvl w:val="6"/>
        <w:rPr>
          <w:rFonts w:hint="eastAsia" w:ascii="宋体" w:hAnsi="宋体" w:cs="Times New Roman"/>
          <w:b/>
          <w:color w:val="auto"/>
          <w:sz w:val="24"/>
          <w:highlight w:val="none"/>
        </w:rPr>
      </w:pPr>
      <w:r>
        <w:rPr>
          <w:rFonts w:hint="eastAsia" w:ascii="宋体" w:hAnsi="宋体" w:cs="Times New Roman"/>
          <w:b/>
          <w:color w:val="auto"/>
          <w:sz w:val="24"/>
          <w:highlight w:val="none"/>
        </w:rPr>
        <w:t>3、投标人的综合得分为以上两部分评分的总和。</w:t>
      </w:r>
    </w:p>
    <w:p w14:paraId="1E9FD634">
      <w:pPr>
        <w:pStyle w:val="24"/>
        <w:pageBreakBefore w:val="0"/>
        <w:kinsoku/>
        <w:wordWrap/>
        <w:overflowPunct/>
        <w:topLinePunct w:val="0"/>
        <w:autoSpaceDE/>
        <w:autoSpaceDN/>
        <w:bidi w:val="0"/>
        <w:adjustRightInd/>
        <w:snapToGrid/>
        <w:spacing w:line="240" w:lineRule="auto"/>
        <w:ind w:left="1349" w:leftChars="26" w:hanging="1294" w:hangingChars="537"/>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4</w:t>
      </w:r>
      <w:r>
        <w:rPr>
          <w:color w:val="auto"/>
          <w:sz w:val="24"/>
          <w:szCs w:val="24"/>
          <w:highlight w:val="none"/>
        </w:rPr>
        <w:t>、推荐中标候选人</w:t>
      </w:r>
      <w:r>
        <w:rPr>
          <w:rFonts w:hint="eastAsia"/>
          <w:color w:val="auto"/>
          <w:sz w:val="24"/>
          <w:szCs w:val="24"/>
          <w:highlight w:val="none"/>
          <w:lang w:eastAsia="zh-CN"/>
        </w:rPr>
        <w:t>。</w:t>
      </w:r>
    </w:p>
    <w:p w14:paraId="27E04145">
      <w:pPr>
        <w:pageBreakBefore w:val="0"/>
        <w:kinsoku/>
        <w:wordWrap/>
        <w:overflowPunct/>
        <w:topLinePunct w:val="0"/>
        <w:autoSpaceDE/>
        <w:autoSpaceDN/>
        <w:bidi w:val="0"/>
        <w:adjustRightInd/>
        <w:snapToGrid/>
        <w:spacing w:line="240" w:lineRule="auto"/>
        <w:ind w:firstLine="480" w:firstLineChars="200"/>
        <w:textAlignment w:val="auto"/>
        <w:rPr>
          <w:rFonts w:hint="eastAsia" w:eastAsia="宋体"/>
          <w:color w:val="auto"/>
          <w:highlight w:val="none"/>
          <w:lang w:val="en-US" w:eastAsia="zh-CN"/>
        </w:rPr>
        <w:sectPr>
          <w:footerReference r:id="rId5" w:type="default"/>
          <w:pgSz w:w="11906" w:h="16839"/>
          <w:pgMar w:top="1134" w:right="879" w:bottom="844" w:left="1117" w:header="0" w:footer="684" w:gutter="0"/>
          <w:pgBorders>
            <w:top w:val="none" w:sz="0" w:space="0"/>
            <w:left w:val="none" w:sz="0" w:space="0"/>
            <w:bottom w:val="none" w:sz="0" w:space="0"/>
            <w:right w:val="none" w:sz="0" w:space="0"/>
          </w:pgBorders>
          <w:cols w:space="720" w:num="1"/>
        </w:sectPr>
      </w:pPr>
      <w:r>
        <w:rPr>
          <w:color w:val="auto"/>
          <w:sz w:val="24"/>
          <w:highlight w:val="none"/>
        </w:rPr>
        <w:t>评标</w:t>
      </w:r>
      <w:r>
        <w:rPr>
          <w:rFonts w:hint="eastAsia"/>
          <w:color w:val="auto"/>
          <w:sz w:val="24"/>
          <w:highlight w:val="none"/>
          <w:lang w:val="en-US" w:eastAsia="zh-CN"/>
        </w:rPr>
        <w:t>小组</w:t>
      </w:r>
      <w:r>
        <w:rPr>
          <w:color w:val="auto"/>
          <w:sz w:val="24"/>
          <w:highlight w:val="none"/>
        </w:rPr>
        <w:t>完成评标后，按总得分由高到低排定顺序</w:t>
      </w:r>
      <w:r>
        <w:rPr>
          <w:rFonts w:hint="eastAsia"/>
          <w:color w:val="auto"/>
          <w:sz w:val="24"/>
          <w:highlight w:val="none"/>
          <w:lang w:eastAsia="zh-CN"/>
        </w:rPr>
        <w:t>，</w:t>
      </w:r>
      <w:r>
        <w:rPr>
          <w:rFonts w:ascii="宋体" w:hAnsi="宋体" w:eastAsia="宋体" w:cs="宋体"/>
          <w:color w:val="auto"/>
          <w:spacing w:val="7"/>
          <w:sz w:val="24"/>
          <w:szCs w:val="24"/>
          <w:highlight w:val="none"/>
        </w:rPr>
        <w:t>由得分从高到低推荐</w:t>
      </w:r>
      <w:r>
        <w:rPr>
          <w:rFonts w:hint="eastAsia" w:ascii="宋体" w:hAnsi="宋体" w:cs="宋体"/>
          <w:color w:val="auto"/>
          <w:spacing w:val="7"/>
          <w:sz w:val="24"/>
          <w:szCs w:val="24"/>
          <w:highlight w:val="none"/>
          <w:lang w:val="en-US" w:eastAsia="zh-CN"/>
        </w:rPr>
        <w:t>第一</w:t>
      </w:r>
      <w:r>
        <w:rPr>
          <w:rFonts w:ascii="宋体" w:hAnsi="宋体" w:eastAsia="宋体" w:cs="宋体"/>
          <w:color w:val="auto"/>
          <w:spacing w:val="7"/>
          <w:sz w:val="24"/>
          <w:szCs w:val="24"/>
          <w:highlight w:val="none"/>
        </w:rPr>
        <w:t>名为中标候</w:t>
      </w:r>
      <w:r>
        <w:rPr>
          <w:rFonts w:hint="eastAsia" w:ascii="宋体" w:hAnsi="宋体" w:cs="宋体"/>
          <w:color w:val="auto"/>
          <w:spacing w:val="7"/>
          <w:sz w:val="24"/>
          <w:szCs w:val="24"/>
          <w:highlight w:val="none"/>
          <w:lang w:val="en-US" w:eastAsia="zh-CN"/>
        </w:rPr>
        <w:t>选人。</w:t>
      </w:r>
    </w:p>
    <w:bookmarkEnd w:id="0"/>
    <w:p w14:paraId="15FB5998">
      <w:pPr>
        <w:pStyle w:val="8"/>
        <w:snapToGrid w:val="0"/>
        <w:spacing w:beforeLines="0" w:afterLines="0" w:line="240" w:lineRule="auto"/>
        <w:jc w:val="left"/>
        <w:rPr>
          <w:rFonts w:hint="default" w:hAnsi="宋体"/>
          <w:b/>
          <w:color w:val="auto"/>
          <w:sz w:val="30"/>
          <w:szCs w:val="30"/>
          <w:highlight w:val="none"/>
          <w:lang w:val="en-US" w:eastAsia="zh-CN"/>
        </w:rPr>
      </w:pPr>
      <w:r>
        <w:rPr>
          <w:rFonts w:hint="eastAsia" w:hAnsi="宋体"/>
          <w:b/>
          <w:color w:val="auto"/>
          <w:sz w:val="30"/>
          <w:szCs w:val="30"/>
          <w:highlight w:val="none"/>
          <w:lang w:val="en-US" w:eastAsia="zh-CN"/>
        </w:rPr>
        <w:t>附件1</w:t>
      </w:r>
    </w:p>
    <w:p w14:paraId="207EF922">
      <w:pPr>
        <w:pStyle w:val="8"/>
        <w:snapToGrid w:val="0"/>
        <w:spacing w:beforeLines="0" w:afterLines="0" w:line="240" w:lineRule="auto"/>
        <w:jc w:val="center"/>
        <w:rPr>
          <w:rFonts w:hint="default" w:hAnsi="宋体" w:eastAsia="宋体"/>
          <w:b/>
          <w:color w:val="auto"/>
          <w:sz w:val="30"/>
          <w:szCs w:val="30"/>
          <w:highlight w:val="none"/>
          <w:lang w:val="en-US" w:eastAsia="zh-CN"/>
        </w:rPr>
      </w:pPr>
      <w:r>
        <w:rPr>
          <w:rFonts w:hint="eastAsia" w:hAnsi="宋体"/>
          <w:b/>
          <w:color w:val="auto"/>
          <w:sz w:val="30"/>
          <w:szCs w:val="30"/>
          <w:highlight w:val="none"/>
          <w:lang w:val="en-US" w:eastAsia="zh-CN"/>
        </w:rPr>
        <w:t>报价一览表</w:t>
      </w:r>
    </w:p>
    <w:tbl>
      <w:tblPr>
        <w:tblStyle w:val="13"/>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0"/>
        <w:gridCol w:w="2305"/>
        <w:gridCol w:w="2834"/>
      </w:tblGrid>
      <w:tr w14:paraId="05DD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trPr>
        <w:tc>
          <w:tcPr>
            <w:tcW w:w="3240" w:type="dxa"/>
            <w:tcBorders>
              <w:top w:val="single" w:color="auto" w:sz="4" w:space="0"/>
              <w:left w:val="single" w:color="auto" w:sz="4" w:space="0"/>
              <w:right w:val="single" w:color="auto" w:sz="4" w:space="0"/>
            </w:tcBorders>
            <w:noWrap w:val="0"/>
            <w:vAlign w:val="center"/>
          </w:tcPr>
          <w:p w14:paraId="759276AA">
            <w:pPr>
              <w:widowControl/>
              <w:spacing w:line="480" w:lineRule="atLeast"/>
              <w:jc w:val="center"/>
              <w:rPr>
                <w:b/>
                <w:bCs/>
                <w:color w:val="auto"/>
                <w:kern w:val="0"/>
                <w:sz w:val="24"/>
                <w:szCs w:val="20"/>
                <w:highlight w:val="none"/>
              </w:rPr>
            </w:pPr>
            <w:r>
              <w:rPr>
                <w:b/>
                <w:bCs/>
                <w:color w:val="auto"/>
                <w:kern w:val="0"/>
                <w:sz w:val="24"/>
                <w:szCs w:val="20"/>
                <w:highlight w:val="none"/>
              </w:rPr>
              <w:t>名称</w:t>
            </w:r>
          </w:p>
        </w:tc>
        <w:tc>
          <w:tcPr>
            <w:tcW w:w="2305" w:type="dxa"/>
            <w:tcBorders>
              <w:top w:val="single" w:color="auto" w:sz="4" w:space="0"/>
              <w:left w:val="single" w:color="auto" w:sz="4" w:space="0"/>
              <w:right w:val="single" w:color="auto" w:sz="4" w:space="0"/>
            </w:tcBorders>
            <w:noWrap w:val="0"/>
            <w:vAlign w:val="center"/>
          </w:tcPr>
          <w:p w14:paraId="76970C1C">
            <w:pPr>
              <w:widowControl/>
              <w:spacing w:line="480" w:lineRule="atLeast"/>
              <w:jc w:val="center"/>
              <w:rPr>
                <w:rFonts w:hint="default" w:eastAsia="宋体"/>
                <w:b/>
                <w:bCs/>
                <w:color w:val="auto"/>
                <w:kern w:val="0"/>
                <w:sz w:val="24"/>
                <w:szCs w:val="20"/>
                <w:highlight w:val="none"/>
                <w:lang w:val="en-US" w:eastAsia="zh-CN"/>
              </w:rPr>
            </w:pPr>
            <w:r>
              <w:rPr>
                <w:rFonts w:hint="eastAsia"/>
                <w:b/>
                <w:bCs/>
                <w:color w:val="auto"/>
                <w:kern w:val="0"/>
                <w:szCs w:val="20"/>
                <w:highlight w:val="none"/>
                <w:lang w:val="en-US" w:eastAsia="zh-CN"/>
              </w:rPr>
              <w:t>产品类别</w:t>
            </w:r>
          </w:p>
        </w:tc>
        <w:tc>
          <w:tcPr>
            <w:tcW w:w="2834" w:type="dxa"/>
            <w:tcBorders>
              <w:top w:val="single" w:color="auto" w:sz="4" w:space="0"/>
              <w:left w:val="single" w:color="auto" w:sz="4" w:space="0"/>
              <w:right w:val="single" w:color="auto" w:sz="4" w:space="0"/>
            </w:tcBorders>
            <w:noWrap w:val="0"/>
            <w:vAlign w:val="center"/>
          </w:tcPr>
          <w:p w14:paraId="60E3D510">
            <w:pPr>
              <w:widowControl/>
              <w:spacing w:line="480" w:lineRule="atLeast"/>
              <w:jc w:val="center"/>
              <w:rPr>
                <w:rFonts w:hint="default"/>
                <w:b/>
                <w:bCs/>
                <w:color w:val="auto"/>
                <w:kern w:val="0"/>
                <w:szCs w:val="20"/>
                <w:highlight w:val="none"/>
                <w:lang w:val="en-US" w:eastAsia="zh-CN"/>
              </w:rPr>
            </w:pPr>
            <w:r>
              <w:rPr>
                <w:rFonts w:hint="eastAsia"/>
                <w:b/>
                <w:bCs/>
                <w:color w:val="auto"/>
                <w:kern w:val="0"/>
                <w:szCs w:val="20"/>
                <w:highlight w:val="none"/>
                <w:lang w:val="en-US" w:eastAsia="zh-CN"/>
              </w:rPr>
              <w:t>报价</w:t>
            </w:r>
          </w:p>
        </w:tc>
      </w:tr>
      <w:tr w14:paraId="6694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exact"/>
        </w:trPr>
        <w:tc>
          <w:tcPr>
            <w:tcW w:w="3240" w:type="dxa"/>
            <w:vMerge w:val="restart"/>
            <w:tcBorders>
              <w:left w:val="single" w:color="auto" w:sz="4" w:space="0"/>
              <w:right w:val="single" w:color="auto" w:sz="4" w:space="0"/>
            </w:tcBorders>
            <w:noWrap w:val="0"/>
            <w:vAlign w:val="center"/>
          </w:tcPr>
          <w:p w14:paraId="5BAEE5F5">
            <w:pPr>
              <w:widowControl/>
              <w:spacing w:line="480" w:lineRule="atLeast"/>
              <w:jc w:val="center"/>
              <w:rPr>
                <w:rFonts w:hint="eastAsia" w:ascii="Times New Roman" w:hAnsi="Times New Roman" w:eastAsia="宋体" w:cs="Times New Roman"/>
                <w:color w:val="auto"/>
                <w:sz w:val="24"/>
                <w:highlight w:val="none"/>
              </w:rPr>
            </w:pPr>
            <w:r>
              <w:rPr>
                <w:rFonts w:hint="eastAsia"/>
                <w:b/>
                <w:bCs/>
                <w:color w:val="auto"/>
                <w:kern w:val="0"/>
                <w:sz w:val="24"/>
                <w:szCs w:val="20"/>
                <w:highlight w:val="none"/>
                <w:lang w:val="en-US" w:eastAsia="zh-CN"/>
              </w:rPr>
              <w:t>职工活动中心咖啡、烘焙服务经营项目</w:t>
            </w:r>
          </w:p>
        </w:tc>
        <w:tc>
          <w:tcPr>
            <w:tcW w:w="2305" w:type="dxa"/>
            <w:tcBorders>
              <w:top w:val="single" w:color="auto" w:sz="4" w:space="0"/>
              <w:left w:val="single" w:color="auto" w:sz="4" w:space="0"/>
              <w:bottom w:val="single" w:color="auto" w:sz="4" w:space="0"/>
              <w:right w:val="single" w:color="auto" w:sz="4" w:space="0"/>
            </w:tcBorders>
            <w:noWrap w:val="0"/>
            <w:vAlign w:val="center"/>
          </w:tcPr>
          <w:p w14:paraId="093CFDFF">
            <w:pPr>
              <w:widowControl/>
              <w:spacing w:line="480" w:lineRule="atLeast"/>
              <w:jc w:val="center"/>
              <w:rPr>
                <w:rFonts w:hint="default" w:eastAsia="宋体"/>
                <w:color w:val="auto"/>
                <w:kern w:val="0"/>
                <w:sz w:val="28"/>
                <w:szCs w:val="28"/>
                <w:highlight w:val="none"/>
                <w:lang w:val="en-US" w:eastAsia="zh-CN"/>
              </w:rPr>
            </w:pPr>
            <w:r>
              <w:rPr>
                <w:rFonts w:hint="eastAsia"/>
                <w:color w:val="auto"/>
                <w:kern w:val="0"/>
                <w:sz w:val="28"/>
                <w:szCs w:val="28"/>
                <w:highlight w:val="none"/>
                <w:lang w:val="en-US" w:eastAsia="zh-CN"/>
              </w:rPr>
              <w:t>基础咖啡</w:t>
            </w:r>
          </w:p>
        </w:tc>
        <w:tc>
          <w:tcPr>
            <w:tcW w:w="2834" w:type="dxa"/>
            <w:tcBorders>
              <w:top w:val="single" w:color="auto" w:sz="4" w:space="0"/>
              <w:left w:val="single" w:color="auto" w:sz="4" w:space="0"/>
              <w:bottom w:val="single" w:color="auto" w:sz="4" w:space="0"/>
              <w:right w:val="single" w:color="auto" w:sz="4" w:space="0"/>
            </w:tcBorders>
            <w:noWrap w:val="0"/>
            <w:vAlign w:val="center"/>
          </w:tcPr>
          <w:p w14:paraId="5823216E">
            <w:pPr>
              <w:widowControl/>
              <w:spacing w:line="480" w:lineRule="atLeast"/>
              <w:jc w:val="right"/>
              <w:rPr>
                <w:rFonts w:hint="eastAsia"/>
                <w:color w:val="auto"/>
                <w:kern w:val="0"/>
                <w:sz w:val="28"/>
                <w:szCs w:val="28"/>
                <w:highlight w:val="none"/>
                <w:lang w:eastAsia="zh-CN"/>
              </w:rPr>
            </w:pPr>
            <w:r>
              <w:rPr>
                <w:rFonts w:hint="eastAsia"/>
                <w:color w:val="auto"/>
                <w:kern w:val="0"/>
                <w:sz w:val="28"/>
                <w:szCs w:val="28"/>
                <w:highlight w:val="none"/>
                <w:lang w:eastAsia="zh-CN"/>
              </w:rPr>
              <w:t>（</w:t>
            </w:r>
            <w:r>
              <w:rPr>
                <w:rFonts w:hint="eastAsia"/>
                <w:color w:val="auto"/>
                <w:kern w:val="0"/>
                <w:sz w:val="28"/>
                <w:szCs w:val="28"/>
                <w:highlight w:val="none"/>
                <w:lang w:val="en-US" w:eastAsia="zh-CN"/>
              </w:rPr>
              <w:t>元</w:t>
            </w:r>
            <w:r>
              <w:rPr>
                <w:rFonts w:hint="eastAsia"/>
                <w:color w:val="auto"/>
                <w:kern w:val="0"/>
                <w:sz w:val="28"/>
                <w:szCs w:val="28"/>
                <w:highlight w:val="none"/>
                <w:lang w:eastAsia="zh-CN"/>
              </w:rPr>
              <w:t>）</w:t>
            </w:r>
          </w:p>
        </w:tc>
      </w:tr>
      <w:tr w14:paraId="5529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exact"/>
        </w:trPr>
        <w:tc>
          <w:tcPr>
            <w:tcW w:w="3240" w:type="dxa"/>
            <w:vMerge w:val="continue"/>
            <w:tcBorders>
              <w:left w:val="single" w:color="auto" w:sz="4" w:space="0"/>
              <w:bottom w:val="single" w:color="auto" w:sz="4" w:space="0"/>
              <w:right w:val="single" w:color="auto" w:sz="4" w:space="0"/>
            </w:tcBorders>
            <w:noWrap w:val="0"/>
            <w:vAlign w:val="center"/>
          </w:tcPr>
          <w:p w14:paraId="101DA322">
            <w:pPr>
              <w:widowControl/>
              <w:spacing w:line="480" w:lineRule="atLeast"/>
              <w:jc w:val="center"/>
              <w:rPr>
                <w:rFonts w:hint="eastAsia"/>
                <w:b/>
                <w:bCs/>
                <w:color w:val="auto"/>
                <w:kern w:val="0"/>
                <w:sz w:val="24"/>
                <w:szCs w:val="20"/>
                <w:highlight w:val="none"/>
                <w:lang w:val="en-US" w:eastAsia="zh-CN"/>
              </w:rPr>
            </w:pPr>
          </w:p>
        </w:tc>
        <w:tc>
          <w:tcPr>
            <w:tcW w:w="2305" w:type="dxa"/>
            <w:tcBorders>
              <w:top w:val="single" w:color="auto" w:sz="4" w:space="0"/>
              <w:left w:val="single" w:color="auto" w:sz="4" w:space="0"/>
              <w:bottom w:val="single" w:color="auto" w:sz="4" w:space="0"/>
              <w:right w:val="single" w:color="auto" w:sz="4" w:space="0"/>
            </w:tcBorders>
            <w:noWrap w:val="0"/>
            <w:vAlign w:val="center"/>
          </w:tcPr>
          <w:p w14:paraId="34F2F223">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其他产品</w:t>
            </w:r>
          </w:p>
        </w:tc>
        <w:tc>
          <w:tcPr>
            <w:tcW w:w="2834" w:type="dxa"/>
            <w:tcBorders>
              <w:top w:val="single" w:color="auto" w:sz="4" w:space="0"/>
              <w:left w:val="single" w:color="auto" w:sz="4" w:space="0"/>
              <w:bottom w:val="single" w:color="auto" w:sz="4" w:space="0"/>
              <w:right w:val="single" w:color="auto" w:sz="4" w:space="0"/>
            </w:tcBorders>
            <w:noWrap w:val="0"/>
            <w:vAlign w:val="center"/>
          </w:tcPr>
          <w:p w14:paraId="5A382879">
            <w:pPr>
              <w:widowControl/>
              <w:spacing w:line="480" w:lineRule="atLeast"/>
              <w:jc w:val="right"/>
              <w:rPr>
                <w:rFonts w:hint="eastAsia"/>
                <w:color w:val="auto"/>
                <w:kern w:val="0"/>
                <w:sz w:val="28"/>
                <w:szCs w:val="28"/>
                <w:highlight w:val="none"/>
                <w:lang w:eastAsia="zh-CN"/>
              </w:rPr>
            </w:pPr>
            <w:r>
              <w:rPr>
                <w:rFonts w:hint="eastAsia"/>
                <w:color w:val="auto"/>
                <w:kern w:val="0"/>
                <w:sz w:val="28"/>
                <w:szCs w:val="28"/>
                <w:highlight w:val="none"/>
                <w:lang w:eastAsia="zh-CN"/>
              </w:rPr>
              <w:t>（</w:t>
            </w:r>
            <w:r>
              <w:rPr>
                <w:rFonts w:hint="eastAsia"/>
                <w:color w:val="auto"/>
                <w:kern w:val="0"/>
                <w:sz w:val="28"/>
                <w:szCs w:val="28"/>
                <w:highlight w:val="none"/>
                <w:lang w:val="en-US" w:eastAsia="zh-CN"/>
              </w:rPr>
              <w:t>%折扣</w:t>
            </w:r>
            <w:r>
              <w:rPr>
                <w:rFonts w:hint="eastAsia"/>
                <w:color w:val="auto"/>
                <w:kern w:val="0"/>
                <w:sz w:val="28"/>
                <w:szCs w:val="28"/>
                <w:highlight w:val="none"/>
                <w:lang w:eastAsia="zh-CN"/>
              </w:rPr>
              <w:t>）</w:t>
            </w:r>
          </w:p>
        </w:tc>
      </w:tr>
      <w:tr w14:paraId="6860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379" w:type="dxa"/>
            <w:gridSpan w:val="3"/>
            <w:tcBorders>
              <w:top w:val="single" w:color="auto" w:sz="4" w:space="0"/>
              <w:left w:val="single" w:color="auto" w:sz="4" w:space="0"/>
              <w:bottom w:val="single" w:color="auto" w:sz="4" w:space="0"/>
              <w:right w:val="single" w:color="auto" w:sz="4" w:space="0"/>
            </w:tcBorders>
            <w:noWrap w:val="0"/>
            <w:vAlign w:val="top"/>
          </w:tcPr>
          <w:p w14:paraId="720BA2E3">
            <w:pPr>
              <w:widowControl/>
              <w:spacing w:line="360" w:lineRule="auto"/>
              <w:jc w:val="left"/>
              <w:rPr>
                <w:rFonts w:hint="eastAsia" w:eastAsia="宋体"/>
                <w:color w:val="auto"/>
                <w:kern w:val="0"/>
                <w:sz w:val="24"/>
                <w:highlight w:val="none"/>
                <w:lang w:eastAsia="zh-CN"/>
              </w:rPr>
            </w:pPr>
            <w:r>
              <w:rPr>
                <w:rFonts w:hint="eastAsia"/>
                <w:color w:val="auto"/>
                <w:kern w:val="0"/>
                <w:sz w:val="24"/>
                <w:highlight w:val="none"/>
                <w:lang w:val="en-US" w:eastAsia="zh-CN"/>
              </w:rPr>
              <w:t>备注：</w:t>
            </w:r>
          </w:p>
        </w:tc>
      </w:tr>
    </w:tbl>
    <w:p w14:paraId="25A8E0AD">
      <w:pPr>
        <w:spacing w:line="400" w:lineRule="exact"/>
        <w:rPr>
          <w:rFonts w:hint="eastAsia" w:ascii="宋体" w:hAnsi="宋体"/>
          <w:color w:val="auto"/>
          <w:sz w:val="24"/>
          <w:highlight w:val="none"/>
        </w:rPr>
      </w:pPr>
    </w:p>
    <w:p w14:paraId="3A48E010">
      <w:pPr>
        <w:spacing w:line="400" w:lineRule="exact"/>
        <w:rPr>
          <w:rFonts w:hint="eastAsia" w:ascii="宋体" w:hAnsi="宋体"/>
          <w:color w:val="auto"/>
          <w:sz w:val="24"/>
          <w:highlight w:val="none"/>
        </w:rPr>
      </w:pPr>
      <w:r>
        <w:rPr>
          <w:rFonts w:hint="eastAsia" w:ascii="宋体" w:hAnsi="宋体"/>
          <w:color w:val="auto"/>
          <w:sz w:val="24"/>
          <w:highlight w:val="none"/>
        </w:rPr>
        <w:t>注</w:t>
      </w:r>
      <w:r>
        <w:rPr>
          <w:rFonts w:ascii="宋体" w:hAnsi="宋体"/>
          <w:color w:val="auto"/>
          <w:sz w:val="24"/>
          <w:highlight w:val="none"/>
        </w:rPr>
        <w:t>: 1</w:t>
      </w:r>
      <w:r>
        <w:rPr>
          <w:rFonts w:hint="eastAsia" w:ascii="宋体" w:hAnsi="宋体"/>
          <w:color w:val="auto"/>
          <w:sz w:val="24"/>
          <w:highlight w:val="none"/>
        </w:rPr>
        <w:t>、报价一经涂改，应在涂改处加盖单位公章或者由法定代表人或授权委托人签字或盖章，否则其投标作无效标处理。</w:t>
      </w:r>
    </w:p>
    <w:p w14:paraId="5E93AE97">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ascii="宋体" w:hAnsi="宋体"/>
          <w:color w:val="auto"/>
          <w:sz w:val="24"/>
          <w:highlight w:val="none"/>
        </w:rPr>
        <w:t>投标报价是履行合同的最终价格，应包括</w:t>
      </w:r>
      <w:r>
        <w:rPr>
          <w:rFonts w:hint="eastAsia" w:ascii="宋体" w:hAnsi="宋体"/>
          <w:color w:val="auto"/>
          <w:sz w:val="24"/>
          <w:highlight w:val="none"/>
        </w:rPr>
        <w:t>运维人员工资、社保、技术指导、售后服务、税金、利润等完成本项目服务的所有费用。投标人的报价如有缺漏项，也将被视为投标优惠，已包含在总价范围内。</w:t>
      </w:r>
    </w:p>
    <w:p w14:paraId="5E7E8A6F">
      <w:pPr>
        <w:pStyle w:val="2"/>
        <w:numPr>
          <w:ilvl w:val="0"/>
          <w:numId w:val="0"/>
        </w:numPr>
        <w:outlineLvl w:val="0"/>
        <w:rPr>
          <w:color w:val="auto"/>
          <w:highlight w:val="none"/>
        </w:rPr>
      </w:pPr>
    </w:p>
    <w:p w14:paraId="205C1CA5">
      <w:pPr>
        <w:snapToGrid w:val="0"/>
        <w:spacing w:before="50" w:after="50"/>
        <w:ind w:left="-3" w:leftChars="-72" w:right="-817" w:rightChars="-389" w:hanging="148" w:hangingChars="62"/>
        <w:jc w:val="center"/>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投标人名称（盖章）：</w:t>
      </w:r>
    </w:p>
    <w:p w14:paraId="38627696">
      <w:pPr>
        <w:snapToGrid w:val="0"/>
        <w:spacing w:before="50" w:after="50"/>
        <w:ind w:firstLine="480" w:firstLineChars="200"/>
        <w:rPr>
          <w:rFonts w:ascii="宋体" w:hAnsi="宋体"/>
          <w:color w:val="auto"/>
          <w:sz w:val="24"/>
          <w:szCs w:val="20"/>
          <w:highlight w:val="none"/>
        </w:rPr>
      </w:pPr>
    </w:p>
    <w:p w14:paraId="26EB378A">
      <w:pPr>
        <w:snapToGrid w:val="0"/>
        <w:spacing w:before="50" w:after="50"/>
        <w:ind w:left="-3" w:leftChars="-72" w:right="-817" w:rightChars="-389" w:hanging="148" w:hangingChars="62"/>
        <w:jc w:val="center"/>
        <w:rPr>
          <w:rFonts w:ascii="宋体" w:hAnsi="宋体"/>
          <w:color w:val="auto"/>
          <w:sz w:val="24"/>
          <w:szCs w:val="20"/>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法定代表人或授权代表（签字）：</w:t>
      </w:r>
    </w:p>
    <w:p w14:paraId="05AF8D7B">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p>
    <w:p w14:paraId="27C7FAA8">
      <w:pPr>
        <w:snapToGrid w:val="0"/>
        <w:spacing w:before="50" w:after="50"/>
        <w:ind w:left="88" w:leftChars="42" w:right="-817" w:rightChars="-389" w:firstLine="3681" w:firstLineChars="1534"/>
        <w:jc w:val="left"/>
        <w:rPr>
          <w:rFonts w:ascii="宋体" w:hAnsi="宋体"/>
          <w:color w:val="auto"/>
          <w:sz w:val="24"/>
          <w:highlight w:val="none"/>
        </w:rPr>
      </w:pPr>
      <w:r>
        <w:rPr>
          <w:rFonts w:hint="eastAsia" w:ascii="宋体" w:hAnsi="宋体"/>
          <w:color w:val="auto"/>
          <w:sz w:val="24"/>
          <w:highlight w:val="none"/>
          <w:lang w:val="en-US" w:eastAsia="zh-CN"/>
        </w:rPr>
        <w:t>联系方式：</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p>
    <w:p w14:paraId="623AB384">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     </w:t>
      </w:r>
    </w:p>
    <w:p w14:paraId="5F7740EB">
      <w:pPr>
        <w:snapToGrid w:val="0"/>
        <w:spacing w:before="50" w:after="50"/>
        <w:ind w:left="-3" w:leftChars="-72" w:right="-817" w:rightChars="-389" w:hanging="148" w:hangingChars="62"/>
        <w:jc w:val="center"/>
        <w:rPr>
          <w:color w:val="auto"/>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日期：</w:t>
      </w: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2C23E261">
      <w:pPr>
        <w:rPr>
          <w:rFonts w:hint="eastAsia" w:eastAsia="宋体"/>
          <w:color w:val="auto"/>
          <w:highlight w:val="none"/>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7327">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- 39 -</w:t>
    </w:r>
    <w:r>
      <w:fldChar w:fldCharType="end"/>
    </w:r>
  </w:p>
  <w:p w14:paraId="47F4A208">
    <w:pPr>
      <w:pStyle w:val="9"/>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3CB1">
    <w:pPr>
      <w:spacing w:line="196" w:lineRule="auto"/>
      <w:ind w:left="4767"/>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416C">
    <w:pPr>
      <w:pStyle w:val="10"/>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FCE78"/>
    <w:multiLevelType w:val="singleLevel"/>
    <w:tmpl w:val="B72FCE78"/>
    <w:lvl w:ilvl="0" w:tentative="0">
      <w:start w:val="2"/>
      <w:numFmt w:val="decimal"/>
      <w:suff w:val="nothing"/>
      <w:lvlText w:val="%1、"/>
      <w:lvlJc w:val="left"/>
    </w:lvl>
  </w:abstractNum>
  <w:abstractNum w:abstractNumId="1">
    <w:nsid w:val="C433E2BD"/>
    <w:multiLevelType w:val="singleLevel"/>
    <w:tmpl w:val="C433E2BD"/>
    <w:lvl w:ilvl="0" w:tentative="0">
      <w:start w:val="8"/>
      <w:numFmt w:val="chineseCounting"/>
      <w:suff w:val="nothing"/>
      <w:lvlText w:val="%1、"/>
      <w:lvlJc w:val="left"/>
      <w:rPr>
        <w:rFonts w:hint="eastAsia"/>
      </w:rPr>
    </w:lvl>
  </w:abstractNum>
  <w:abstractNum w:abstractNumId="2">
    <w:nsid w:val="1A541B1F"/>
    <w:multiLevelType w:val="singleLevel"/>
    <w:tmpl w:val="1A541B1F"/>
    <w:lvl w:ilvl="0" w:tentative="0">
      <w:start w:val="1"/>
      <w:numFmt w:val="decimal"/>
      <w:lvlText w:val="%1."/>
      <w:lvlJc w:val="left"/>
      <w:pPr>
        <w:tabs>
          <w:tab w:val="left" w:pos="312"/>
        </w:tabs>
      </w:pPr>
    </w:lvl>
  </w:abstractNum>
  <w:abstractNum w:abstractNumId="3">
    <w:nsid w:val="2DC42501"/>
    <w:multiLevelType w:val="singleLevel"/>
    <w:tmpl w:val="2DC42501"/>
    <w:lvl w:ilvl="0" w:tentative="0">
      <w:start w:val="2"/>
      <w:numFmt w:val="chineseCounting"/>
      <w:suff w:val="nothing"/>
      <w:lvlText w:val="%1、"/>
      <w:lvlJc w:val="left"/>
      <w:rPr>
        <w:rFonts w:hint="eastAsia"/>
      </w:rPr>
    </w:lvl>
  </w:abstractNum>
  <w:abstractNum w:abstractNumId="4">
    <w:nsid w:val="763060DB"/>
    <w:multiLevelType w:val="multilevel"/>
    <w:tmpl w:val="763060DB"/>
    <w:lvl w:ilvl="0" w:tentative="0">
      <w:start w:val="1"/>
      <w:numFmt w:val="japaneseCounting"/>
      <w:lvlText w:val="第%1章"/>
      <w:lvlJc w:val="left"/>
      <w:pPr>
        <w:tabs>
          <w:tab w:val="left" w:pos="2715"/>
        </w:tabs>
        <w:ind w:left="2715" w:hanging="1275"/>
      </w:pPr>
      <w:rPr>
        <w:rFonts w:hint="eastAsia"/>
      </w:rPr>
    </w:lvl>
    <w:lvl w:ilvl="1" w:tentative="0">
      <w:start w:val="1"/>
      <w:numFmt w:val="japaneseCounting"/>
      <w:lvlText w:val="%2、"/>
      <w:lvlJc w:val="left"/>
      <w:pPr>
        <w:tabs>
          <w:tab w:val="left" w:pos="2580"/>
        </w:tabs>
        <w:ind w:left="2580" w:hanging="720"/>
      </w:pPr>
      <w:rPr>
        <w:rFonts w:hint="eastAsia"/>
      </w:rPr>
    </w:lvl>
    <w:lvl w:ilvl="2" w:tentative="0">
      <w:start w:val="1"/>
      <w:numFmt w:val="lowerRoman"/>
      <w:lvlText w:val="%3."/>
      <w:lvlJc w:val="right"/>
      <w:pPr>
        <w:tabs>
          <w:tab w:val="left" w:pos="2700"/>
        </w:tabs>
        <w:ind w:left="2700" w:hanging="420"/>
      </w:pPr>
    </w:lvl>
    <w:lvl w:ilvl="3" w:tentative="0">
      <w:start w:val="1"/>
      <w:numFmt w:val="decimal"/>
      <w:lvlText w:val="%4."/>
      <w:lvlJc w:val="left"/>
      <w:pPr>
        <w:tabs>
          <w:tab w:val="left" w:pos="3120"/>
        </w:tabs>
        <w:ind w:left="3120" w:hanging="420"/>
      </w:pPr>
    </w:lvl>
    <w:lvl w:ilvl="4" w:tentative="0">
      <w:start w:val="1"/>
      <w:numFmt w:val="lowerLetter"/>
      <w:lvlText w:val="%5)"/>
      <w:lvlJc w:val="left"/>
      <w:pPr>
        <w:tabs>
          <w:tab w:val="left" w:pos="3540"/>
        </w:tabs>
        <w:ind w:left="3540" w:hanging="420"/>
      </w:pPr>
    </w:lvl>
    <w:lvl w:ilvl="5" w:tentative="0">
      <w:start w:val="1"/>
      <w:numFmt w:val="lowerRoman"/>
      <w:lvlText w:val="%6."/>
      <w:lvlJc w:val="right"/>
      <w:pPr>
        <w:tabs>
          <w:tab w:val="left" w:pos="3960"/>
        </w:tabs>
        <w:ind w:left="3960" w:hanging="420"/>
      </w:pPr>
    </w:lvl>
    <w:lvl w:ilvl="6" w:tentative="0">
      <w:start w:val="1"/>
      <w:numFmt w:val="decimal"/>
      <w:lvlText w:val="%7."/>
      <w:lvlJc w:val="left"/>
      <w:pPr>
        <w:tabs>
          <w:tab w:val="left" w:pos="4380"/>
        </w:tabs>
        <w:ind w:left="4380" w:hanging="420"/>
      </w:pPr>
    </w:lvl>
    <w:lvl w:ilvl="7" w:tentative="0">
      <w:start w:val="1"/>
      <w:numFmt w:val="lowerLetter"/>
      <w:lvlText w:val="%8)"/>
      <w:lvlJc w:val="left"/>
      <w:pPr>
        <w:tabs>
          <w:tab w:val="left" w:pos="4800"/>
        </w:tabs>
        <w:ind w:left="4800" w:hanging="420"/>
      </w:pPr>
    </w:lvl>
    <w:lvl w:ilvl="8" w:tentative="0">
      <w:start w:val="1"/>
      <w:numFmt w:val="lowerRoman"/>
      <w:lvlText w:val="%9."/>
      <w:lvlJc w:val="right"/>
      <w:pPr>
        <w:tabs>
          <w:tab w:val="left" w:pos="5220"/>
        </w:tabs>
        <w:ind w:left="5220" w:hanging="420"/>
      </w:p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TMxNWFiMTQxZDJkMzU0MTM1MTJiYThjZTE2ZjQifQ=="/>
  </w:docVars>
  <w:rsids>
    <w:rsidRoot w:val="00000000"/>
    <w:rsid w:val="00FF1EBA"/>
    <w:rsid w:val="06F34A0E"/>
    <w:rsid w:val="0A746F8B"/>
    <w:rsid w:val="0F227143"/>
    <w:rsid w:val="13384356"/>
    <w:rsid w:val="17C5084B"/>
    <w:rsid w:val="19731199"/>
    <w:rsid w:val="1A29697E"/>
    <w:rsid w:val="1C2908DF"/>
    <w:rsid w:val="1FD3746A"/>
    <w:rsid w:val="24802B27"/>
    <w:rsid w:val="27807E41"/>
    <w:rsid w:val="2B171719"/>
    <w:rsid w:val="2CF34638"/>
    <w:rsid w:val="2DE8492C"/>
    <w:rsid w:val="325A51C2"/>
    <w:rsid w:val="331B42A4"/>
    <w:rsid w:val="3676124D"/>
    <w:rsid w:val="41AF1B95"/>
    <w:rsid w:val="41C64AAB"/>
    <w:rsid w:val="422426D8"/>
    <w:rsid w:val="49E64FC1"/>
    <w:rsid w:val="4DD63C2C"/>
    <w:rsid w:val="4E080D95"/>
    <w:rsid w:val="5A652ECC"/>
    <w:rsid w:val="5CE73451"/>
    <w:rsid w:val="610879CB"/>
    <w:rsid w:val="66A202BB"/>
    <w:rsid w:val="720D4290"/>
    <w:rsid w:val="75484091"/>
    <w:rsid w:val="7A003CFB"/>
    <w:rsid w:val="7A1901AB"/>
    <w:rsid w:val="7C5855EB"/>
    <w:rsid w:val="7F575AD5"/>
    <w:rsid w:val="7F9F2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4"/>
    <w:basedOn w:val="1"/>
    <w:next w:val="1"/>
    <w:qFormat/>
    <w:uiPriority w:val="0"/>
    <w:pPr>
      <w:keepNext/>
      <w:keepLines/>
      <w:spacing w:line="540" w:lineRule="atLeast"/>
      <w:outlineLvl w:val="3"/>
    </w:pPr>
    <w:rPr>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adjustRightInd w:val="0"/>
      <w:spacing w:line="312" w:lineRule="atLeast"/>
      <w:ind w:firstLine="420"/>
      <w:textAlignment w:val="baseline"/>
    </w:pPr>
    <w:rPr>
      <w:kern w:val="0"/>
      <w:szCs w:val="20"/>
    </w:rPr>
  </w:style>
  <w:style w:type="paragraph" w:styleId="5">
    <w:name w:val="Body Text Indent"/>
    <w:basedOn w:val="1"/>
    <w:next w:val="4"/>
    <w:qFormat/>
    <w:uiPriority w:val="0"/>
    <w:pPr>
      <w:ind w:left="480" w:hanging="480" w:hangingChars="200"/>
    </w:pPr>
    <w:rPr>
      <w:sz w:val="24"/>
    </w:rPr>
  </w:style>
  <w:style w:type="paragraph" w:styleId="6">
    <w:name w:val="annotation text"/>
    <w:basedOn w:val="1"/>
    <w:qFormat/>
    <w:uiPriority w:val="0"/>
    <w:pPr>
      <w:jc w:val="left"/>
    </w:pPr>
  </w:style>
  <w:style w:type="paragraph" w:styleId="7">
    <w:name w:val="Body Text"/>
    <w:basedOn w:val="1"/>
    <w:qFormat/>
    <w:uiPriority w:val="0"/>
    <w:pPr>
      <w:spacing w:after="120" w:afterLines="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5"/>
    <w:next w:val="1"/>
    <w:qFormat/>
    <w:uiPriority w:val="0"/>
    <w:pPr>
      <w:spacing w:after="120" w:line="240" w:lineRule="auto"/>
      <w:ind w:left="420" w:leftChars="200" w:firstLine="420"/>
    </w:pPr>
    <w:rPr>
      <w:shd w:val="clear" w:color="auto" w:fill="auto"/>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BodyText"/>
    <w:basedOn w:val="1"/>
    <w:qFormat/>
    <w:uiPriority w:val="0"/>
    <w:pPr>
      <w:spacing w:after="120"/>
      <w:jc w:val="both"/>
      <w:textAlignment w:val="baseline"/>
    </w:pPr>
  </w:style>
  <w:style w:type="character" w:customStyle="1" w:styleId="19">
    <w:name w:val="NormalCharacter"/>
    <w:qFormat/>
    <w:uiPriority w:val="0"/>
    <w:rPr>
      <w:kern w:val="2"/>
      <w:sz w:val="21"/>
      <w:szCs w:val="24"/>
      <w:lang w:val="en-US" w:eastAsia="zh-CN" w:bidi="ar-SA"/>
    </w:rPr>
  </w:style>
  <w:style w:type="character" w:customStyle="1" w:styleId="20">
    <w:name w:val="font31"/>
    <w:basedOn w:val="15"/>
    <w:qFormat/>
    <w:uiPriority w:val="0"/>
    <w:rPr>
      <w:rFonts w:hint="eastAsia" w:ascii="宋体" w:hAnsi="宋体" w:eastAsia="宋体" w:cs="宋体"/>
      <w:color w:val="000000"/>
      <w:sz w:val="21"/>
      <w:szCs w:val="21"/>
      <w:u w:val="none"/>
    </w:rPr>
  </w:style>
  <w:style w:type="character" w:customStyle="1" w:styleId="21">
    <w:name w:val="font01"/>
    <w:basedOn w:val="15"/>
    <w:qFormat/>
    <w:uiPriority w:val="0"/>
    <w:rPr>
      <w:rFonts w:ascii="Calibri" w:hAnsi="Calibri" w:cs="Calibri"/>
      <w:color w:val="000000"/>
      <w:sz w:val="21"/>
      <w:szCs w:val="21"/>
      <w:u w:val="none"/>
    </w:rPr>
  </w:style>
  <w:style w:type="character" w:customStyle="1" w:styleId="22">
    <w:name w:val="font61"/>
    <w:basedOn w:val="15"/>
    <w:qFormat/>
    <w:uiPriority w:val="0"/>
    <w:rPr>
      <w:rFonts w:hint="eastAsia" w:ascii="宋体" w:hAnsi="宋体" w:eastAsia="宋体" w:cs="宋体"/>
      <w:color w:val="000000"/>
      <w:sz w:val="21"/>
      <w:szCs w:val="21"/>
      <w:u w:val="non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标题 7 New"/>
    <w:basedOn w:val="1"/>
    <w:next w:val="1"/>
    <w:qFormat/>
    <w:uiPriority w:val="0"/>
    <w:pPr>
      <w:keepNext/>
      <w:keepLines/>
      <w:widowControl/>
      <w:tabs>
        <w:tab w:val="left" w:pos="2520"/>
      </w:tabs>
      <w:spacing w:before="240" w:beforeLines="0" w:after="64" w:afterLines="0" w:line="317" w:lineRule="auto"/>
      <w:ind w:left="1296" w:hanging="1296"/>
      <w:jc w:val="left"/>
      <w:outlineLvl w:val="6"/>
    </w:pPr>
    <w:rPr>
      <w:b/>
      <w:kern w:val="0"/>
      <w:szCs w:val="20"/>
    </w:rPr>
  </w:style>
  <w:style w:type="character" w:customStyle="1" w:styleId="25">
    <w:name w:val="font41"/>
    <w:basedOn w:val="15"/>
    <w:qFormat/>
    <w:uiPriority w:val="0"/>
    <w:rPr>
      <w:rFonts w:hint="eastAsia" w:ascii="微软雅黑" w:hAnsi="微软雅黑" w:eastAsia="微软雅黑" w:cs="微软雅黑"/>
      <w:color w:val="000000"/>
      <w:sz w:val="32"/>
      <w:szCs w:val="32"/>
      <w:u w:val="none"/>
    </w:rPr>
  </w:style>
  <w:style w:type="character" w:customStyle="1" w:styleId="26">
    <w:name w:val="font51"/>
    <w:basedOn w:val="15"/>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3542</Words>
  <Characters>3708</Characters>
  <Lines>0</Lines>
  <Paragraphs>0</Paragraphs>
  <TotalTime>61</TotalTime>
  <ScaleCrop>false</ScaleCrop>
  <LinksUpToDate>false</LinksUpToDate>
  <CharactersWithSpaces>3819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2023-06-12T08:23:00Z</dcterms:created>
  <dc:creator>Administrator</dc:creator>
  <cp:lastModifiedBy>rabbit</cp:lastModifiedBy>
  <cp:lastPrinted>2026-06-16T02:05:04Z</cp:lastPrinted>
  <dcterms:modified xsi:type="dcterms:W3CDTF">2026-06-16T02:11:16Z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A938597347214572977D89EED823559F_13</vt:lpwstr>
  </property>
  <property fmtid="{D5CDD505-2E9C-101B-9397-08002B2CF9AE}" pid="4" name="KSOTemplateDocerSaveRecord">
    <vt:lpwstr>eyJoZGlkIjoiMjM3YzJmYmQ2ZDZiODZhNDhlYjY5NTgxNDg0NWYzOTIiLCJ1c2VySWQiOiIxMjM5NjgwOTMyIn0=</vt:lpwstr>
  </property>
</Properties>
</file>